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29"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68" w:lineRule="exact"/>
        <w:rPr>
          <w:sz w:val="24"/>
          <w:szCs w:val="24"/>
          <w:color w:val="auto"/>
        </w:rPr>
      </w:pPr>
    </w:p>
    <w:p>
      <w:pPr>
        <w:ind w:left="60"/>
        <w:spacing w:after="0"/>
        <w:rPr>
          <w:sz w:val="20"/>
          <w:szCs w:val="20"/>
          <w:color w:val="auto"/>
        </w:rPr>
      </w:pPr>
      <w:r>
        <w:rPr>
          <w:rFonts w:ascii="Arial" w:cs="Arial" w:eastAsia="Arial" w:hAnsi="Arial"/>
          <w:sz w:val="13"/>
          <w:szCs w:val="13"/>
          <w:b w:val="1"/>
          <w:bCs w:val="1"/>
          <w:color w:val="auto"/>
        </w:rPr>
        <w:t>(Mark One)</w:t>
      </w:r>
    </w:p>
    <w:p>
      <w:pPr>
        <w:spacing w:after="0" w:line="70" w:lineRule="exact"/>
        <w:rPr>
          <w:sz w:val="24"/>
          <w:szCs w:val="24"/>
          <w:color w:val="auto"/>
        </w:rPr>
      </w:pPr>
    </w:p>
    <w:p>
      <w:pPr>
        <w:ind w:left="700" w:hanging="326"/>
        <w:spacing w:after="0"/>
        <w:tabs>
          <w:tab w:leader="none" w:pos="7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2022</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700" w:right="419" w:hanging="326"/>
        <w:spacing w:after="0" w:line="296" w:lineRule="auto"/>
        <w:tabs>
          <w:tab w:leader="none" w:pos="7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2900" w:type="dxa"/>
        <w:tblCellMar>
          <w:top w:w="0" w:type="dxa"/>
          <w:left w:w="0" w:type="dxa"/>
          <w:bottom w:w="0" w:type="dxa"/>
          <w:right w:w="0" w:type="dxa"/>
        </w:tblCellMar>
      </w:tblPr>
      <w:tr>
        <w:trPr>
          <w:trHeight w:val="141"/>
        </w:trPr>
        <w:tc>
          <w:tcPr>
            <w:tcW w:w="1800" w:type="dxa"/>
            <w:vAlign w:val="bottom"/>
          </w:tcPr>
          <w:p>
            <w:pPr>
              <w:spacing w:after="0" w:line="141" w:lineRule="exact"/>
              <w:rPr>
                <w:sz w:val="20"/>
                <w:szCs w:val="20"/>
                <w:color w:val="auto"/>
              </w:rPr>
            </w:pPr>
            <w:r>
              <w:rPr>
                <w:rFonts w:ascii="Arial" w:cs="Arial" w:eastAsia="Arial" w:hAnsi="Arial"/>
                <w:sz w:val="13"/>
                <w:szCs w:val="13"/>
                <w:b w:val="1"/>
                <w:bCs w:val="1"/>
                <w:color w:val="auto"/>
                <w:w w:val="97"/>
              </w:rPr>
              <w:t>For the transition period from</w:t>
            </w:r>
          </w:p>
        </w:tc>
        <w:tc>
          <w:tcPr>
            <w:tcW w:w="660" w:type="dxa"/>
            <w:vAlign w:val="bottom"/>
            <w:tcBorders>
              <w:bottom w:val="single" w:sz="8" w:color="auto"/>
            </w:tcBorders>
          </w:tcPr>
          <w:p>
            <w:pPr>
              <w:spacing w:after="0"/>
              <w:rPr>
                <w:sz w:val="12"/>
                <w:szCs w:val="12"/>
                <w:color w:val="auto"/>
              </w:rPr>
            </w:pPr>
          </w:p>
        </w:tc>
        <w:tc>
          <w:tcPr>
            <w:tcW w:w="200" w:type="dxa"/>
            <w:vAlign w:val="bottom"/>
          </w:tcPr>
          <w:p>
            <w:pPr>
              <w:ind w:left="80"/>
              <w:spacing w:after="0" w:line="141" w:lineRule="exact"/>
              <w:rPr>
                <w:sz w:val="20"/>
                <w:szCs w:val="20"/>
                <w:color w:val="auto"/>
              </w:rPr>
            </w:pPr>
            <w:r>
              <w:rPr>
                <w:rFonts w:ascii="Arial" w:cs="Arial" w:eastAsia="Arial" w:hAnsi="Arial"/>
                <w:sz w:val="13"/>
                <w:szCs w:val="13"/>
                <w:b w:val="1"/>
                <w:bCs w:val="1"/>
                <w:color w:val="auto"/>
                <w:w w:val="81"/>
              </w:rPr>
              <w:t>to</w:t>
            </w:r>
          </w:p>
        </w:tc>
        <w:tc>
          <w:tcPr>
            <w:tcW w:w="560" w:type="dxa"/>
            <w:vAlign w:val="bottom"/>
            <w:tcBorders>
              <w:bottom w:val="single" w:sz="8" w:color="auto"/>
            </w:tcBorders>
          </w:tcPr>
          <w:p>
            <w:pPr>
              <w:spacing w:after="0"/>
              <w:rPr>
                <w:sz w:val="12"/>
                <w:szCs w:val="12"/>
                <w:color w:val="auto"/>
              </w:rPr>
            </w:pPr>
          </w:p>
        </w:tc>
      </w:tr>
      <w:tr>
        <w:trPr>
          <w:trHeight w:val="215"/>
        </w:trPr>
        <w:tc>
          <w:tcPr>
            <w:tcW w:w="3220" w:type="dxa"/>
            <w:vAlign w:val="bottom"/>
            <w:gridSpan w:val="4"/>
          </w:tcPr>
          <w:p>
            <w:pPr>
              <w:ind w:left="540"/>
              <w:spacing w:after="0"/>
              <w:rPr>
                <w:sz w:val="20"/>
                <w:szCs w:val="20"/>
                <w:color w:val="auto"/>
              </w:rPr>
            </w:pPr>
            <w:r>
              <w:rPr>
                <w:rFonts w:ascii="Arial" w:cs="Arial" w:eastAsia="Arial" w:hAnsi="Arial"/>
                <w:sz w:val="13"/>
                <w:szCs w:val="13"/>
                <w:b w:val="1"/>
                <w:bCs w:val="1"/>
                <w:color w:val="auto"/>
              </w:rPr>
              <w:t>Commission file number: 001-40498</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Century Therapeutics,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54" w:lineRule="exact"/>
        <w:rPr>
          <w:sz w:val="24"/>
          <w:szCs w:val="24"/>
          <w:color w:val="auto"/>
        </w:rPr>
      </w:pPr>
    </w:p>
    <w:tbl>
      <w:tblPr>
        <w:tblLayout w:type="fixed"/>
        <w:tblInd w:w="1400" w:type="dxa"/>
        <w:tblCellMar>
          <w:top w:w="0" w:type="dxa"/>
          <w:left w:w="0" w:type="dxa"/>
          <w:bottom w:w="0" w:type="dxa"/>
          <w:right w:w="0" w:type="dxa"/>
        </w:tblCellMar>
      </w:tblPr>
      <w:tr>
        <w:trPr>
          <w:trHeight w:val="149"/>
        </w:trPr>
        <w:tc>
          <w:tcPr>
            <w:tcW w:w="4920" w:type="dxa"/>
            <w:vAlign w:val="bottom"/>
          </w:tcPr>
          <w:p>
            <w:pPr>
              <w:jc w:val="center"/>
              <w:ind w:right="2697"/>
              <w:spacing w:after="0"/>
              <w:rPr>
                <w:sz w:val="20"/>
                <w:szCs w:val="20"/>
                <w:color w:val="auto"/>
              </w:rPr>
            </w:pPr>
            <w:r>
              <w:rPr>
                <w:rFonts w:ascii="Arial" w:cs="Arial" w:eastAsia="Arial" w:hAnsi="Arial"/>
                <w:sz w:val="13"/>
                <w:szCs w:val="13"/>
                <w:b w:val="1"/>
                <w:bCs w:val="1"/>
                <w:color w:val="auto"/>
                <w:w w:val="98"/>
              </w:rPr>
              <w:t>Delaware</w:t>
            </w:r>
          </w:p>
        </w:tc>
        <w:tc>
          <w:tcPr>
            <w:tcW w:w="1200" w:type="dxa"/>
            <w:vAlign w:val="bottom"/>
          </w:tcPr>
          <w:p>
            <w:pPr>
              <w:jc w:val="right"/>
              <w:ind w:right="77"/>
              <w:spacing w:after="0"/>
              <w:rPr>
                <w:sz w:val="20"/>
                <w:szCs w:val="20"/>
                <w:color w:val="auto"/>
              </w:rPr>
            </w:pPr>
            <w:r>
              <w:rPr>
                <w:rFonts w:ascii="Arial" w:cs="Arial" w:eastAsia="Arial" w:hAnsi="Arial"/>
                <w:sz w:val="13"/>
                <w:szCs w:val="13"/>
                <w:b w:val="1"/>
                <w:bCs w:val="1"/>
                <w:color w:val="auto"/>
              </w:rPr>
              <w:t>84-2040295</w:t>
            </w:r>
          </w:p>
        </w:tc>
      </w:tr>
      <w:tr>
        <w:trPr>
          <w:trHeight w:val="135"/>
        </w:trPr>
        <w:tc>
          <w:tcPr>
            <w:tcW w:w="4920" w:type="dxa"/>
            <w:vAlign w:val="bottom"/>
          </w:tcPr>
          <w:p>
            <w:pPr>
              <w:jc w:val="center"/>
              <w:ind w:right="2677"/>
              <w:spacing w:after="0" w:line="135" w:lineRule="exact"/>
              <w:rPr>
                <w:sz w:val="20"/>
                <w:szCs w:val="20"/>
                <w:color w:val="auto"/>
              </w:rPr>
            </w:pPr>
            <w:r>
              <w:rPr>
                <w:rFonts w:ascii="Arial" w:cs="Arial" w:eastAsia="Arial" w:hAnsi="Arial"/>
                <w:sz w:val="13"/>
                <w:szCs w:val="13"/>
                <w:color w:val="auto"/>
                <w:w w:val="97"/>
              </w:rPr>
              <w:t>(State or other jurisdiction of</w:t>
            </w:r>
          </w:p>
        </w:tc>
        <w:tc>
          <w:tcPr>
            <w:tcW w:w="1200" w:type="dxa"/>
            <w:vAlign w:val="bottom"/>
          </w:tcPr>
          <w:p>
            <w:pPr>
              <w:jc w:val="center"/>
              <w:ind w:left="177"/>
              <w:spacing w:after="0" w:line="135" w:lineRule="exact"/>
              <w:rPr>
                <w:sz w:val="20"/>
                <w:szCs w:val="20"/>
                <w:color w:val="auto"/>
              </w:rPr>
            </w:pPr>
            <w:r>
              <w:rPr>
                <w:rFonts w:ascii="Arial" w:cs="Arial" w:eastAsia="Arial" w:hAnsi="Arial"/>
                <w:sz w:val="13"/>
                <w:szCs w:val="13"/>
                <w:color w:val="auto"/>
                <w:w w:val="96"/>
              </w:rPr>
              <w:t>(I.R.S. Employer</w:t>
            </w:r>
          </w:p>
        </w:tc>
      </w:tr>
      <w:tr>
        <w:trPr>
          <w:trHeight w:val="135"/>
        </w:trPr>
        <w:tc>
          <w:tcPr>
            <w:tcW w:w="4920" w:type="dxa"/>
            <w:vAlign w:val="bottom"/>
          </w:tcPr>
          <w:p>
            <w:pPr>
              <w:jc w:val="center"/>
              <w:ind w:right="2697"/>
              <w:spacing w:after="0" w:line="135" w:lineRule="exact"/>
              <w:rPr>
                <w:sz w:val="20"/>
                <w:szCs w:val="20"/>
                <w:color w:val="auto"/>
              </w:rPr>
            </w:pPr>
            <w:r>
              <w:rPr>
                <w:rFonts w:ascii="Arial" w:cs="Arial" w:eastAsia="Arial" w:hAnsi="Arial"/>
                <w:sz w:val="13"/>
                <w:szCs w:val="13"/>
                <w:color w:val="auto"/>
                <w:w w:val="96"/>
              </w:rPr>
              <w:t>incorporation or organization)</w:t>
            </w:r>
          </w:p>
        </w:tc>
        <w:tc>
          <w:tcPr>
            <w:tcW w:w="120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6"/>
              </w:rPr>
              <w:t>Identification No.)</w:t>
            </w:r>
          </w:p>
        </w:tc>
      </w:tr>
      <w:tr>
        <w:trPr>
          <w:trHeight w:val="135"/>
        </w:trPr>
        <w:tc>
          <w:tcPr>
            <w:tcW w:w="4920" w:type="dxa"/>
            <w:vAlign w:val="bottom"/>
          </w:tcPr>
          <w:p>
            <w:pPr>
              <w:jc w:val="center"/>
              <w:ind w:right="2697"/>
              <w:spacing w:after="0" w:line="135" w:lineRule="exact"/>
              <w:rPr>
                <w:sz w:val="20"/>
                <w:szCs w:val="20"/>
                <w:color w:val="auto"/>
              </w:rPr>
            </w:pPr>
            <w:r>
              <w:rPr>
                <w:rFonts w:ascii="Arial" w:cs="Arial" w:eastAsia="Arial" w:hAnsi="Arial"/>
                <w:sz w:val="13"/>
                <w:szCs w:val="13"/>
                <w:b w:val="1"/>
                <w:bCs w:val="1"/>
                <w:color w:val="auto"/>
                <w:w w:val="97"/>
              </w:rPr>
              <w:t>3675 Market Street</w:t>
            </w:r>
          </w:p>
        </w:tc>
        <w:tc>
          <w:tcPr>
            <w:tcW w:w="120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19104</w:t>
            </w:r>
          </w:p>
        </w:tc>
      </w:tr>
      <w:tr>
        <w:trPr>
          <w:trHeight w:val="135"/>
        </w:trPr>
        <w:tc>
          <w:tcPr>
            <w:tcW w:w="4920" w:type="dxa"/>
            <w:vAlign w:val="bottom"/>
          </w:tcPr>
          <w:p>
            <w:pPr>
              <w:jc w:val="center"/>
              <w:ind w:right="2677"/>
              <w:spacing w:after="0" w:line="135" w:lineRule="exact"/>
              <w:rPr>
                <w:sz w:val="20"/>
                <w:szCs w:val="20"/>
                <w:color w:val="auto"/>
              </w:rPr>
            </w:pPr>
            <w:r>
              <w:rPr>
                <w:rFonts w:ascii="Arial" w:cs="Arial" w:eastAsia="Arial" w:hAnsi="Arial"/>
                <w:sz w:val="13"/>
                <w:szCs w:val="13"/>
                <w:b w:val="1"/>
                <w:bCs w:val="1"/>
                <w:color w:val="auto"/>
                <w:w w:val="97"/>
              </w:rPr>
              <w:t>Philadelphia, Pennsylvania</w:t>
            </w:r>
          </w:p>
        </w:tc>
        <w:tc>
          <w:tcPr>
            <w:tcW w:w="1200" w:type="dxa"/>
            <w:vAlign w:val="bottom"/>
          </w:tcPr>
          <w:p>
            <w:pPr>
              <w:jc w:val="center"/>
              <w:ind w:left="177"/>
              <w:spacing w:after="0" w:line="135" w:lineRule="exact"/>
              <w:rPr>
                <w:sz w:val="20"/>
                <w:szCs w:val="20"/>
                <w:color w:val="auto"/>
              </w:rPr>
            </w:pPr>
            <w:r>
              <w:rPr>
                <w:rFonts w:ascii="Arial" w:cs="Arial" w:eastAsia="Arial" w:hAnsi="Arial"/>
                <w:sz w:val="13"/>
                <w:szCs w:val="13"/>
                <w:color w:val="auto"/>
                <w:w w:val="97"/>
              </w:rPr>
              <w:t>(Zip Code)</w:t>
            </w:r>
          </w:p>
        </w:tc>
      </w:tr>
      <w:tr>
        <w:trPr>
          <w:trHeight w:val="166"/>
        </w:trPr>
        <w:tc>
          <w:tcPr>
            <w:tcW w:w="4920" w:type="dxa"/>
            <w:vAlign w:val="bottom"/>
          </w:tcPr>
          <w:p>
            <w:pPr>
              <w:jc w:val="center"/>
              <w:ind w:right="2697"/>
              <w:spacing w:after="0"/>
              <w:rPr>
                <w:sz w:val="20"/>
                <w:szCs w:val="20"/>
                <w:color w:val="auto"/>
              </w:rPr>
            </w:pPr>
            <w:r>
              <w:rPr>
                <w:rFonts w:ascii="Arial" w:cs="Arial" w:eastAsia="Arial" w:hAnsi="Arial"/>
                <w:sz w:val="13"/>
                <w:szCs w:val="13"/>
                <w:color w:val="auto"/>
                <w:w w:val="97"/>
              </w:rPr>
              <w:t>(Address of principal executive offices)</w:t>
            </w:r>
          </w:p>
        </w:tc>
        <w:tc>
          <w:tcPr>
            <w:tcW w:w="1200" w:type="dxa"/>
            <w:vAlign w:val="bottom"/>
          </w:tcPr>
          <w:p>
            <w:pPr>
              <w:spacing w:after="0"/>
              <w:rPr>
                <w:sz w:val="14"/>
                <w:szCs w:val="14"/>
                <w:color w:val="auto"/>
              </w:rPr>
            </w:pPr>
          </w:p>
        </w:tc>
      </w:tr>
      <w:tr>
        <w:trPr>
          <w:trHeight w:val="185"/>
        </w:trPr>
        <w:tc>
          <w:tcPr>
            <w:tcW w:w="4920" w:type="dxa"/>
            <w:vAlign w:val="bottom"/>
          </w:tcPr>
          <w:p>
            <w:pPr>
              <w:jc w:val="right"/>
              <w:ind w:right="1317"/>
              <w:spacing w:after="0"/>
              <w:rPr>
                <w:sz w:val="20"/>
                <w:szCs w:val="20"/>
                <w:color w:val="auto"/>
              </w:rPr>
            </w:pPr>
            <w:r>
              <w:rPr>
                <w:rFonts w:ascii="Arial" w:cs="Arial" w:eastAsia="Arial" w:hAnsi="Arial"/>
                <w:sz w:val="13"/>
                <w:szCs w:val="13"/>
                <w:b w:val="1"/>
                <w:bCs w:val="1"/>
                <w:color w:val="auto"/>
              </w:rPr>
              <w:t>(267) 817-5790</w:t>
            </w:r>
          </w:p>
        </w:tc>
        <w:tc>
          <w:tcPr>
            <w:tcW w:w="1200" w:type="dxa"/>
            <w:vAlign w:val="bottom"/>
          </w:tcPr>
          <w:p>
            <w:pPr>
              <w:spacing w:after="0"/>
              <w:rPr>
                <w:sz w:val="16"/>
                <w:szCs w:val="16"/>
                <w:color w:val="auto"/>
              </w:rPr>
            </w:pPr>
          </w:p>
        </w:tc>
      </w:tr>
      <w:tr>
        <w:trPr>
          <w:trHeight w:val="172"/>
        </w:trPr>
        <w:tc>
          <w:tcPr>
            <w:tcW w:w="4920" w:type="dxa"/>
            <w:vAlign w:val="bottom"/>
          </w:tcPr>
          <w:p>
            <w:pPr>
              <w:jc w:val="center"/>
              <w:ind w:left="1237"/>
              <w:spacing w:after="0"/>
              <w:rPr>
                <w:sz w:val="20"/>
                <w:szCs w:val="20"/>
                <w:color w:val="auto"/>
              </w:rPr>
            </w:pPr>
            <w:r>
              <w:rPr>
                <w:rFonts w:ascii="Arial" w:cs="Arial" w:eastAsia="Arial" w:hAnsi="Arial"/>
                <w:sz w:val="13"/>
                <w:szCs w:val="13"/>
                <w:b w:val="1"/>
                <w:bCs w:val="1"/>
                <w:color w:val="auto"/>
                <w:w w:val="96"/>
              </w:rPr>
              <w:t>(Registrant’s telephone number, including area code)</w:t>
            </w:r>
          </w:p>
        </w:tc>
        <w:tc>
          <w:tcPr>
            <w:tcW w:w="12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31115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52" w:lineRule="exact"/>
        <w:rPr>
          <w:sz w:val="24"/>
          <w:szCs w:val="24"/>
          <w:color w:val="auto"/>
        </w:rPr>
      </w:pPr>
    </w:p>
    <w:tbl>
      <w:tblPr>
        <w:tblLayout w:type="fixed"/>
        <w:tblInd w:w="60" w:type="dxa"/>
        <w:tblCellMar>
          <w:top w:w="0" w:type="dxa"/>
          <w:left w:w="0" w:type="dxa"/>
          <w:bottom w:w="0" w:type="dxa"/>
          <w:right w:w="0" w:type="dxa"/>
        </w:tblCellMar>
      </w:tblPr>
      <w:tr>
        <w:trPr>
          <w:trHeight w:val="149"/>
        </w:trPr>
        <w:tc>
          <w:tcPr>
            <w:tcW w:w="31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Title of each class</w:t>
            </w:r>
          </w:p>
        </w:tc>
        <w:tc>
          <w:tcPr>
            <w:tcW w:w="294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2840" w:type="dxa"/>
            <w:vAlign w:val="bottom"/>
            <w:gridSpan w:val="2"/>
            <w:vMerge w:val="restart"/>
          </w:tcPr>
          <w:p>
            <w:pPr>
              <w:jc w:val="center"/>
              <w:ind w:left="117"/>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04"/>
        </w:trPr>
        <w:tc>
          <w:tcPr>
            <w:tcW w:w="3120" w:type="dxa"/>
            <w:vAlign w:val="bottom"/>
            <w:gridSpan w:val="2"/>
            <w:vMerge w:val="continue"/>
          </w:tcPr>
          <w:p>
            <w:pPr>
              <w:spacing w:after="0"/>
              <w:rPr>
                <w:sz w:val="9"/>
                <w:szCs w:val="9"/>
                <w:color w:val="auto"/>
              </w:rPr>
            </w:pPr>
          </w:p>
        </w:tc>
        <w:tc>
          <w:tcPr>
            <w:tcW w:w="2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Symbol(s)</w:t>
            </w:r>
          </w:p>
        </w:tc>
        <w:tc>
          <w:tcPr>
            <w:tcW w:w="2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9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94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3120" w:type="dxa"/>
            <w:vAlign w:val="bottom"/>
            <w:gridSpan w:val="2"/>
          </w:tcPr>
          <w:p>
            <w:pPr>
              <w:jc w:val="center"/>
              <w:ind w:right="180"/>
              <w:spacing w:after="0"/>
              <w:rPr>
                <w:sz w:val="20"/>
                <w:szCs w:val="20"/>
                <w:color w:val="auto"/>
              </w:rPr>
            </w:pPr>
            <w:r>
              <w:rPr>
                <w:rFonts w:ascii="Arial" w:cs="Arial" w:eastAsia="Arial" w:hAnsi="Arial"/>
                <w:sz w:val="13"/>
                <w:szCs w:val="13"/>
                <w:color w:val="auto"/>
                <w:w w:val="96"/>
              </w:rPr>
              <w:t>Common Stock, $0.0001 par value per share</w:t>
            </w:r>
          </w:p>
        </w:tc>
        <w:tc>
          <w:tcPr>
            <w:tcW w:w="2940" w:type="dxa"/>
            <w:vAlign w:val="bottom"/>
          </w:tcPr>
          <w:p>
            <w:pPr>
              <w:jc w:val="center"/>
              <w:spacing w:after="0"/>
              <w:rPr>
                <w:sz w:val="20"/>
                <w:szCs w:val="20"/>
                <w:color w:val="auto"/>
              </w:rPr>
            </w:pPr>
            <w:r>
              <w:rPr>
                <w:rFonts w:ascii="Arial" w:cs="Arial" w:eastAsia="Arial" w:hAnsi="Arial"/>
                <w:sz w:val="13"/>
                <w:szCs w:val="13"/>
                <w:color w:val="auto"/>
                <w:w w:val="98"/>
              </w:rPr>
              <w:t>IPSC</w:t>
            </w:r>
          </w:p>
        </w:tc>
        <w:tc>
          <w:tcPr>
            <w:tcW w:w="18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c>
          <w:tcPr>
            <w:tcW w:w="0" w:type="dxa"/>
            <w:vAlign w:val="bottom"/>
          </w:tcPr>
          <w:p>
            <w:pPr>
              <w:spacing w:after="0"/>
              <w:rPr>
                <w:sz w:val="1"/>
                <w:szCs w:val="1"/>
                <w:color w:val="auto"/>
              </w:rPr>
            </w:pPr>
          </w:p>
        </w:tc>
      </w:tr>
    </w:tbl>
    <w:p>
      <w:pPr>
        <w:spacing w:after="0" w:line="83" w:lineRule="exact"/>
        <w:rPr>
          <w:sz w:val="24"/>
          <w:szCs w:val="24"/>
          <w:color w:val="auto"/>
        </w:rPr>
      </w:pPr>
    </w:p>
    <w:p>
      <w:pPr>
        <w:ind w:left="700" w:right="1019"/>
        <w:spacing w:after="0" w:line="214"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9" w:lineRule="exact"/>
        <w:rPr>
          <w:sz w:val="24"/>
          <w:szCs w:val="24"/>
          <w:color w:val="auto"/>
        </w:rPr>
      </w:pPr>
    </w:p>
    <w:p>
      <w:pPr>
        <w:ind w:left="60" w:right="259" w:firstLine="648"/>
        <w:spacing w:after="0" w:line="25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50" w:lineRule="exact"/>
        <w:rPr>
          <w:sz w:val="20"/>
          <w:szCs w:val="20"/>
          <w:color w:val="auto"/>
        </w:rPr>
      </w:pPr>
      <w:r>
        <w:rPr>
          <w:rFonts w:ascii="Arial" w:cs="Arial" w:eastAsia="Arial" w:hAnsi="Arial"/>
          <w:sz w:val="13"/>
          <w:szCs w:val="13"/>
          <w:color w:val="auto"/>
        </w:rPr>
        <w:t xml:space="preserve">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7" w:lineRule="exact"/>
        <w:rPr>
          <w:sz w:val="24"/>
          <w:szCs w:val="24"/>
          <w:color w:val="auto"/>
        </w:rPr>
      </w:pPr>
    </w:p>
    <w:p>
      <w:pPr>
        <w:ind w:left="60" w:right="99" w:firstLine="648"/>
        <w:spacing w:after="0" w:line="25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ind w:left="60"/>
        <w:spacing w:after="0" w:line="150" w:lineRule="exact"/>
        <w:rPr>
          <w:sz w:val="20"/>
          <w:szCs w:val="20"/>
          <w:color w:val="auto"/>
        </w:rPr>
      </w:pPr>
      <w:r>
        <w:rPr>
          <w:rFonts w:ascii="Arial" w:cs="Arial" w:eastAsia="Arial" w:hAnsi="Arial"/>
          <w:sz w:val="13"/>
          <w:szCs w:val="13"/>
          <w:color w:val="auto"/>
        </w:rPr>
        <w:t xml:space="preserve">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7" w:lineRule="exact"/>
        <w:rPr>
          <w:sz w:val="24"/>
          <w:szCs w:val="24"/>
          <w:color w:val="auto"/>
        </w:rPr>
      </w:pPr>
    </w:p>
    <w:p>
      <w:pPr>
        <w:ind w:left="60" w:right="79" w:firstLine="648"/>
        <w:spacing w:after="0" w:line="2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1500" w:type="dxa"/>
        <w:tblCellMar>
          <w:top w:w="0" w:type="dxa"/>
          <w:left w:w="0" w:type="dxa"/>
          <w:bottom w:w="0" w:type="dxa"/>
          <w:right w:w="0" w:type="dxa"/>
        </w:tblCellMar>
      </w:tblPr>
      <w:tr>
        <w:trPr>
          <w:trHeight w:val="149"/>
        </w:trPr>
        <w:tc>
          <w:tcPr>
            <w:tcW w:w="2780" w:type="dxa"/>
            <w:vAlign w:val="bottom"/>
          </w:tcPr>
          <w:p>
            <w:pPr>
              <w:jc w:val="center"/>
              <w:ind w:right="1317"/>
              <w:spacing w:after="0" w:line="150" w:lineRule="exact"/>
              <w:rPr>
                <w:sz w:val="20"/>
                <w:szCs w:val="20"/>
                <w:color w:val="auto"/>
              </w:rPr>
            </w:pPr>
            <w:r>
              <w:rPr>
                <w:rFonts w:ascii="Arial" w:cs="Arial" w:eastAsia="Arial" w:hAnsi="Arial"/>
                <w:sz w:val="13"/>
                <w:szCs w:val="13"/>
                <w:color w:val="auto"/>
                <w:w w:val="96"/>
              </w:rPr>
              <w:t xml:space="preserve">Large accelerated filer </w:t>
            </w:r>
            <w:r>
              <w:rPr>
                <w:rFonts w:ascii="MS PGothic" w:cs="MS PGothic" w:eastAsia="MS PGothic" w:hAnsi="MS PGothic"/>
                <w:sz w:val="13"/>
                <w:szCs w:val="13"/>
                <w:color w:val="auto"/>
                <w:w w:val="96"/>
              </w:rPr>
              <w:t>☐</w:t>
            </w:r>
          </w:p>
        </w:tc>
        <w:tc>
          <w:tcPr>
            <w:tcW w:w="3040" w:type="dxa"/>
            <w:vAlign w:val="bottom"/>
          </w:tcPr>
          <w:p>
            <w:pPr>
              <w:jc w:val="center"/>
              <w:ind w:left="1317"/>
              <w:spacing w:after="0" w:line="150" w:lineRule="exact"/>
              <w:rPr>
                <w:sz w:val="20"/>
                <w:szCs w:val="20"/>
                <w:color w:val="auto"/>
              </w:rPr>
            </w:pPr>
            <w:r>
              <w:rPr>
                <w:rFonts w:ascii="Arial" w:cs="Arial" w:eastAsia="Arial" w:hAnsi="Arial"/>
                <w:sz w:val="13"/>
                <w:szCs w:val="13"/>
                <w:color w:val="auto"/>
                <w:w w:val="96"/>
              </w:rPr>
              <w:t xml:space="preserve">Accelerated filer </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r>
        <w:trPr>
          <w:trHeight w:val="149"/>
        </w:trPr>
        <w:tc>
          <w:tcPr>
            <w:tcW w:w="2780" w:type="dxa"/>
            <w:vAlign w:val="bottom"/>
            <w:vMerge w:val="restart"/>
          </w:tcPr>
          <w:p>
            <w:pPr>
              <w:jc w:val="center"/>
              <w:ind w:right="1297"/>
              <w:spacing w:after="0" w:line="150" w:lineRule="exact"/>
              <w:rPr>
                <w:sz w:val="20"/>
                <w:szCs w:val="20"/>
                <w:color w:val="auto"/>
              </w:rPr>
            </w:pPr>
            <w:r>
              <w:rPr>
                <w:rFonts w:ascii="Arial" w:cs="Arial" w:eastAsia="Arial" w:hAnsi="Arial"/>
                <w:sz w:val="13"/>
                <w:szCs w:val="13"/>
                <w:color w:val="auto"/>
                <w:w w:val="95"/>
              </w:rPr>
              <w:t xml:space="preserve">Non-accelerated filer </w:t>
            </w:r>
            <w:r>
              <w:rPr>
                <w:rFonts w:ascii="MS PGothic" w:cs="MS PGothic" w:eastAsia="MS PGothic" w:hAnsi="MS PGothic"/>
                <w:sz w:val="13"/>
                <w:szCs w:val="13"/>
                <w:color w:val="auto"/>
                <w:w w:val="95"/>
              </w:rPr>
              <w:t>☒</w:t>
            </w:r>
          </w:p>
        </w:tc>
        <w:tc>
          <w:tcPr>
            <w:tcW w:w="3040" w:type="dxa"/>
            <w:vAlign w:val="bottom"/>
          </w:tcPr>
          <w:p>
            <w:pPr>
              <w:jc w:val="center"/>
              <w:ind w:left="1317"/>
              <w:spacing w:after="0" w:line="150" w:lineRule="exact"/>
              <w:rPr>
                <w:sz w:val="20"/>
                <w:szCs w:val="20"/>
                <w:color w:val="auto"/>
              </w:rPr>
            </w:pPr>
            <w:r>
              <w:rPr>
                <w:rFonts w:ascii="Arial" w:cs="Arial" w:eastAsia="Arial" w:hAnsi="Arial"/>
                <w:sz w:val="13"/>
                <w:szCs w:val="13"/>
                <w:color w:val="auto"/>
                <w:w w:val="96"/>
              </w:rPr>
              <w:t xml:space="preserve">Smaller reporting company </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r>
        <w:trPr>
          <w:trHeight w:val="199"/>
        </w:trPr>
        <w:tc>
          <w:tcPr>
            <w:tcW w:w="2780" w:type="dxa"/>
            <w:vAlign w:val="bottom"/>
            <w:vMerge w:val="continue"/>
          </w:tcPr>
          <w:p>
            <w:pPr>
              <w:spacing w:after="0"/>
              <w:rPr>
                <w:sz w:val="17"/>
                <w:szCs w:val="17"/>
                <w:color w:val="auto"/>
              </w:rPr>
            </w:pPr>
          </w:p>
        </w:tc>
        <w:tc>
          <w:tcPr>
            <w:tcW w:w="3040" w:type="dxa"/>
            <w:vAlign w:val="bottom"/>
          </w:tcPr>
          <w:p>
            <w:pPr>
              <w:jc w:val="center"/>
              <w:ind w:left="1317"/>
              <w:spacing w:after="0" w:line="150" w:lineRule="exact"/>
              <w:rPr>
                <w:sz w:val="20"/>
                <w:szCs w:val="20"/>
                <w:color w:val="auto"/>
              </w:rPr>
            </w:pPr>
            <w:r>
              <w:rPr>
                <w:rFonts w:ascii="Arial" w:cs="Arial" w:eastAsia="Arial" w:hAnsi="Arial"/>
                <w:sz w:val="13"/>
                <w:szCs w:val="13"/>
                <w:color w:val="auto"/>
                <w:w w:val="96"/>
              </w:rPr>
              <w:t>Emerging growth company</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bl>
    <w:p>
      <w:pPr>
        <w:spacing w:after="0" w:line="106" w:lineRule="exact"/>
        <w:rPr>
          <w:sz w:val="24"/>
          <w:szCs w:val="24"/>
          <w:color w:val="auto"/>
        </w:rPr>
      </w:pPr>
    </w:p>
    <w:p>
      <w:pPr>
        <w:ind w:left="60" w:right="99" w:firstLine="648"/>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8" w:lineRule="exact"/>
        <w:rPr>
          <w:sz w:val="24"/>
          <w:szCs w:val="24"/>
          <w:color w:val="auto"/>
        </w:rPr>
      </w:pPr>
    </w:p>
    <w:p>
      <w:pPr>
        <w:ind w:left="60" w:right="479" w:firstLine="648"/>
        <w:spacing w:after="0" w:line="254" w:lineRule="auto"/>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4"/>
          <w:szCs w:val="24"/>
          <w:color w:val="auto"/>
        </w:rPr>
      </w:pPr>
    </w:p>
    <w:p>
      <w:pPr>
        <w:ind w:left="60"/>
        <w:spacing w:after="0" w:line="150" w:lineRule="exact"/>
        <w:rPr>
          <w:sz w:val="20"/>
          <w:szCs w:val="20"/>
          <w:color w:val="auto"/>
        </w:rPr>
      </w:pPr>
      <w:r>
        <w:rPr>
          <w:rFonts w:ascii="Arial" w:cs="Arial" w:eastAsia="Arial" w:hAnsi="Arial"/>
          <w:sz w:val="13"/>
          <w:szCs w:val="13"/>
          <w:color w:val="auto"/>
        </w:rPr>
        <w:t xml:space="preserve">prepared or issued its audit report. </w:t>
      </w:r>
      <w:r>
        <w:rPr>
          <w:rFonts w:ascii="MS PGothic" w:cs="MS PGothic" w:eastAsia="MS PGothic" w:hAnsi="MS PGothic"/>
          <w:sz w:val="13"/>
          <w:szCs w:val="13"/>
          <w:color w:val="auto"/>
        </w:rPr>
        <w:t>☐</w:t>
      </w:r>
    </w:p>
    <w:p>
      <w:pPr>
        <w:spacing w:after="0" w:line="57" w:lineRule="exact"/>
        <w:rPr>
          <w:sz w:val="24"/>
          <w:szCs w:val="24"/>
          <w:color w:val="auto"/>
        </w:rPr>
      </w:pPr>
    </w:p>
    <w:p>
      <w:pPr>
        <w:ind w:left="60" w:right="119" w:firstLine="648"/>
        <w:spacing w:after="0" w:line="164"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 ling reflect the correction of an error to previously issued financial statements. </w:t>
      </w:r>
      <w:r>
        <w:rPr>
          <w:rFonts w:ascii="MS PGothic" w:cs="MS PGothic" w:eastAsia="MS PGothic" w:hAnsi="MS PGothic"/>
          <w:sz w:val="13"/>
          <w:szCs w:val="13"/>
          <w:color w:val="auto"/>
        </w:rPr>
        <w:t>☐</w:t>
      </w:r>
    </w:p>
    <w:p>
      <w:pPr>
        <w:spacing w:after="0" w:line="25" w:lineRule="exact"/>
        <w:rPr>
          <w:sz w:val="24"/>
          <w:szCs w:val="24"/>
          <w:color w:val="auto"/>
        </w:rPr>
      </w:pPr>
    </w:p>
    <w:p>
      <w:pPr>
        <w:ind w:left="60" w:right="139" w:firstLine="683"/>
        <w:spacing w:after="0" w:line="163"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s executive officers during the relevant recovery period pursuant to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240.10D-1(b). </w:t>
      </w:r>
      <w:r>
        <w:rPr>
          <w:rFonts w:ascii="MS PGothic" w:cs="MS PGothic" w:eastAsia="MS PGothic" w:hAnsi="MS PGothic"/>
          <w:sz w:val="13"/>
          <w:szCs w:val="13"/>
          <w:color w:val="auto"/>
        </w:rPr>
        <w:t>☐</w:t>
      </w:r>
    </w:p>
    <w:p>
      <w:pPr>
        <w:spacing w:after="0" w:line="31" w:lineRule="exact"/>
        <w:rPr>
          <w:sz w:val="24"/>
          <w:szCs w:val="24"/>
          <w:color w:val="auto"/>
        </w:rPr>
      </w:pPr>
    </w:p>
    <w:p>
      <w:pPr>
        <w:ind w:left="70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7" w:lineRule="exact"/>
        <w:rPr>
          <w:sz w:val="24"/>
          <w:szCs w:val="24"/>
          <w:color w:val="auto"/>
        </w:rPr>
      </w:pPr>
    </w:p>
    <w:p>
      <w:pPr>
        <w:ind w:left="700"/>
        <w:spacing w:after="0"/>
        <w:rPr>
          <w:sz w:val="20"/>
          <w:szCs w:val="20"/>
          <w:color w:val="auto"/>
        </w:rPr>
      </w:pPr>
      <w:r>
        <w:rPr>
          <w:rFonts w:ascii="Arial" w:cs="Arial" w:eastAsia="Arial" w:hAnsi="Arial"/>
          <w:sz w:val="12"/>
          <w:szCs w:val="12"/>
          <w:color w:val="auto"/>
        </w:rPr>
        <w:t>The aggregate market value of the registrant’s voting stock held by non-affiliates of the registrant was approximately $368,259,418 as of June 30,</w:t>
      </w:r>
    </w:p>
    <w:p>
      <w:pPr>
        <w:spacing w:after="0" w:line="9" w:lineRule="exact"/>
        <w:rPr>
          <w:sz w:val="24"/>
          <w:szCs w:val="24"/>
          <w:color w:val="auto"/>
        </w:rPr>
      </w:pPr>
    </w:p>
    <w:p>
      <w:pPr>
        <w:ind w:left="60"/>
        <w:spacing w:after="0"/>
        <w:rPr>
          <w:sz w:val="20"/>
          <w:szCs w:val="20"/>
          <w:color w:val="auto"/>
        </w:rPr>
      </w:pPr>
      <w:r>
        <w:rPr>
          <w:rFonts w:ascii="Arial" w:cs="Arial" w:eastAsia="Arial" w:hAnsi="Arial"/>
          <w:sz w:val="13"/>
          <w:szCs w:val="13"/>
          <w:color w:val="auto"/>
        </w:rPr>
        <w:t>2022.</w:t>
      </w:r>
    </w:p>
    <w:p>
      <w:pPr>
        <w:spacing w:after="0" w:line="55" w:lineRule="exact"/>
        <w:rPr>
          <w:sz w:val="24"/>
          <w:szCs w:val="24"/>
          <w:color w:val="auto"/>
        </w:rPr>
      </w:pPr>
    </w:p>
    <w:p>
      <w:pPr>
        <w:ind w:left="700"/>
        <w:spacing w:after="0"/>
        <w:rPr>
          <w:sz w:val="20"/>
          <w:szCs w:val="20"/>
          <w:color w:val="auto"/>
        </w:rPr>
      </w:pPr>
      <w:r>
        <w:rPr>
          <w:rFonts w:ascii="Arial" w:cs="Arial" w:eastAsia="Arial" w:hAnsi="Arial"/>
          <w:sz w:val="13"/>
          <w:szCs w:val="13"/>
          <w:color w:val="auto"/>
        </w:rPr>
        <w:t>As of February 28, 2023, the registrant had 59,170,590 shares of Common Stock, $0.0001 par value per share, outstanding.</w:t>
      </w:r>
    </w:p>
    <w:p>
      <w:pPr>
        <w:spacing w:after="0" w:line="80" w:lineRule="exact"/>
        <w:rPr>
          <w:sz w:val="24"/>
          <w:szCs w:val="24"/>
          <w:color w:val="auto"/>
        </w:rPr>
      </w:pPr>
    </w:p>
    <w:p>
      <w:pPr>
        <w:ind w:left="30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7" w:lineRule="exact"/>
        <w:rPr>
          <w:sz w:val="24"/>
          <w:szCs w:val="24"/>
          <w:color w:val="auto"/>
        </w:rPr>
      </w:pPr>
    </w:p>
    <w:p>
      <w:pPr>
        <w:ind w:left="60" w:right="79" w:firstLine="648"/>
        <w:spacing w:after="0" w:line="243" w:lineRule="auto"/>
        <w:rPr>
          <w:sz w:val="20"/>
          <w:szCs w:val="20"/>
          <w:color w:val="auto"/>
        </w:rPr>
      </w:pPr>
      <w:r>
        <w:rPr>
          <w:rFonts w:ascii="Arial" w:cs="Arial" w:eastAsia="Arial" w:hAnsi="Arial"/>
          <w:sz w:val="13"/>
          <w:szCs w:val="13"/>
          <w:color w:val="auto"/>
        </w:rPr>
        <w:t>Part III of this Annual Report on Form 10-K incorporates certain information by reference from the registrant’s definitive proxy statement for the 2023 annual meeting of shareholders to be filed no later than 120 days after the end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462280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41910</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85090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p>
      <w:pPr>
        <w:ind w:left="260"/>
        <w:spacing w:after="0"/>
        <w:tabs>
          <w:tab w:leader="none" w:pos="8360" w:val="left"/>
        </w:tabs>
        <w:rPr>
          <w:sz w:val="20"/>
          <w:szCs w:val="20"/>
          <w:color w:val="auto"/>
        </w:rPr>
      </w:pPr>
      <w:r>
        <w:rPr>
          <w:rFonts w:ascii="Arial" w:cs="Arial" w:eastAsia="Arial" w:hAnsi="Arial"/>
          <w:sz w:val="16"/>
          <w:szCs w:val="16"/>
          <w:b w:val="1"/>
          <w:bCs w:val="1"/>
          <w:color w:val="auto"/>
        </w:rPr>
        <w:t>Item No.</w:t>
      </w:r>
      <w:r>
        <w:rPr>
          <w:sz w:val="20"/>
          <w:szCs w:val="20"/>
          <w:color w:val="auto"/>
        </w:rPr>
        <w:tab/>
      </w:r>
      <w:r>
        <w:rPr>
          <w:rFonts w:ascii="Arial" w:cs="Arial" w:eastAsia="Arial" w:hAnsi="Arial"/>
          <w:sz w:val="15"/>
          <w:szCs w:val="15"/>
          <w:b w:val="1"/>
          <w:bCs w:val="1"/>
          <w:color w:val="auto"/>
        </w:rPr>
        <w:t>Page</w:t>
      </w:r>
    </w:p>
    <w:p>
      <w:pPr>
        <w:spacing w:after="0" w:line="21"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EE"/>
        </w:rPr>
        <w:t>CAUTIONARY NOTE REGARDING FORWARD-LOOKING STATEMENTS</w:t>
      </w: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b w:val="1"/>
                <w:bCs w:val="1"/>
                <w:color w:val="0000EE"/>
                <w:w w:val="95"/>
              </w:rPr>
              <w:t>PART I</w:t>
            </w:r>
          </w:p>
        </w:tc>
        <w:tc>
          <w:tcPr>
            <w:tcW w:w="3500" w:type="dxa"/>
            <w:vAlign w:val="bottom"/>
            <w:gridSpan w:val="15"/>
          </w:tcPr>
          <w:p>
            <w:pPr>
              <w:spacing w:after="0"/>
              <w:rPr>
                <w:sz w:val="16"/>
                <w:szCs w:val="16"/>
                <w:color w:val="auto"/>
              </w:rPr>
            </w:pPr>
          </w:p>
        </w:tc>
      </w:tr>
      <w:tr>
        <w:trPr>
          <w:trHeight w:val="223"/>
        </w:trPr>
        <w:tc>
          <w:tcPr>
            <w:tcW w:w="1060" w:type="dxa"/>
            <w:vAlign w:val="bottom"/>
            <w:gridSpan w:val="3"/>
          </w:tcPr>
          <w:p>
            <w:pPr>
              <w:spacing w:after="0"/>
              <w:rPr>
                <w:sz w:val="20"/>
                <w:szCs w:val="20"/>
                <w:color w:val="auto"/>
              </w:rPr>
            </w:pPr>
            <w:r>
              <w:rPr>
                <w:rFonts w:ascii="Arial" w:cs="Arial" w:eastAsia="Arial" w:hAnsi="Arial"/>
                <w:sz w:val="16"/>
                <w:szCs w:val="16"/>
                <w:color w:val="0000EE"/>
              </w:rPr>
              <w:t>ITEM 1.</w:t>
            </w:r>
          </w:p>
        </w:tc>
        <w:tc>
          <w:tcPr>
            <w:tcW w:w="7040" w:type="dxa"/>
            <w:vAlign w:val="bottom"/>
            <w:gridSpan w:val="33"/>
          </w:tcPr>
          <w:p>
            <w:pPr>
              <w:spacing w:after="0"/>
              <w:rPr>
                <w:sz w:val="20"/>
                <w:szCs w:val="20"/>
                <w:color w:val="auto"/>
              </w:rPr>
            </w:pPr>
            <w:r>
              <w:rPr>
                <w:rFonts w:ascii="Arial" w:cs="Arial" w:eastAsia="Arial" w:hAnsi="Arial"/>
                <w:sz w:val="16"/>
                <w:szCs w:val="16"/>
                <w:color w:val="0000EE"/>
              </w:rPr>
              <w:t>BUSINESS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1A.</w:t>
            </w:r>
          </w:p>
        </w:tc>
        <w:tc>
          <w:tcPr>
            <w:tcW w:w="42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RISK FACTORS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1B.</w:t>
            </w:r>
          </w:p>
        </w:tc>
        <w:tc>
          <w:tcPr>
            <w:tcW w:w="42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UNRESOLVED STAFF COMMENTS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rPr>
              <w:t>ITEM 2.</w:t>
            </w:r>
          </w:p>
        </w:tc>
        <w:tc>
          <w:tcPr>
            <w:tcW w:w="42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PROPERTIES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gridSpan w:val="3"/>
          </w:tcPr>
          <w:p>
            <w:pPr>
              <w:spacing w:after="0" w:line="183" w:lineRule="exact"/>
              <w:rPr>
                <w:sz w:val="20"/>
                <w:szCs w:val="20"/>
                <w:color w:val="auto"/>
              </w:rPr>
            </w:pPr>
            <w:r>
              <w:rPr>
                <w:rFonts w:ascii="Arial" w:cs="Arial" w:eastAsia="Arial" w:hAnsi="Arial"/>
                <w:sz w:val="16"/>
                <w:szCs w:val="16"/>
                <w:color w:val="0000EE"/>
              </w:rPr>
              <w:t>ITEM 3.</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LEGAL PROCEEDINGS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gridSpan w:val="3"/>
          </w:tcPr>
          <w:p>
            <w:pPr>
              <w:spacing w:after="0" w:line="183" w:lineRule="exact"/>
              <w:rPr>
                <w:sz w:val="20"/>
                <w:szCs w:val="20"/>
                <w:color w:val="auto"/>
              </w:rPr>
            </w:pPr>
            <w:r>
              <w:rPr>
                <w:rFonts w:ascii="Arial" w:cs="Arial" w:eastAsia="Arial" w:hAnsi="Arial"/>
                <w:sz w:val="16"/>
                <w:szCs w:val="16"/>
                <w:color w:val="0000EE"/>
              </w:rPr>
              <w:t>ITEM 4.</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MINE SAFETY DISCLOSURES</w:t>
            </w:r>
          </w:p>
        </w:tc>
      </w:tr>
      <w:tr>
        <w:trPr>
          <w:trHeight w:val="183"/>
        </w:trPr>
        <w:tc>
          <w:tcPr>
            <w:tcW w:w="56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gridSpan w:val="16"/>
          </w:tcPr>
          <w:p>
            <w:pPr>
              <w:jc w:val="center"/>
              <w:ind w:right="3380"/>
              <w:spacing w:after="0" w:line="183" w:lineRule="exact"/>
              <w:rPr>
                <w:sz w:val="20"/>
                <w:szCs w:val="20"/>
                <w:color w:val="auto"/>
              </w:rPr>
            </w:pPr>
            <w:r>
              <w:rPr>
                <w:rFonts w:ascii="Arial" w:cs="Arial" w:eastAsia="Arial" w:hAnsi="Arial"/>
                <w:sz w:val="16"/>
                <w:szCs w:val="16"/>
                <w:b w:val="1"/>
                <w:bCs w:val="1"/>
                <w:color w:val="0000EE"/>
                <w:w w:val="98"/>
              </w:rPr>
              <w:t>PART II</w:t>
            </w:r>
          </w:p>
        </w:tc>
      </w:tr>
      <w:tr>
        <w:trPr>
          <w:trHeight w:val="20"/>
        </w:trPr>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gridSpan w:val="3"/>
          </w:tcPr>
          <w:p>
            <w:pPr>
              <w:spacing w:after="0" w:line="183" w:lineRule="exact"/>
              <w:rPr>
                <w:sz w:val="20"/>
                <w:szCs w:val="20"/>
                <w:color w:val="auto"/>
              </w:rPr>
            </w:pPr>
            <w:r>
              <w:rPr>
                <w:rFonts w:ascii="Arial" w:cs="Arial" w:eastAsia="Arial" w:hAnsi="Arial"/>
                <w:sz w:val="16"/>
                <w:szCs w:val="16"/>
                <w:color w:val="0000EE"/>
              </w:rPr>
              <w:t>ITEM 5.</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MARKET FOR REGISTRANT’S COMMON EQUITY, RELATED STOCKHOLDER MATTERS AND</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640" w:type="dxa"/>
            <w:vAlign w:val="bottom"/>
            <w:tcBorders>
              <w:top w:val="single" w:sz="8" w:color="0000EE"/>
              <w:bottom w:val="single" w:sz="8" w:color="0000EE"/>
            </w:tcBorders>
            <w:gridSpan w:val="18"/>
          </w:tcPr>
          <w:p>
            <w:pPr>
              <w:spacing w:after="0" w:line="169" w:lineRule="exact"/>
              <w:rPr>
                <w:sz w:val="20"/>
                <w:szCs w:val="20"/>
                <w:color w:val="auto"/>
              </w:rPr>
            </w:pPr>
            <w:r>
              <w:rPr>
                <w:rFonts w:ascii="Arial" w:cs="Arial" w:eastAsia="Arial" w:hAnsi="Arial"/>
                <w:sz w:val="16"/>
                <w:szCs w:val="16"/>
                <w:color w:val="0000EE"/>
              </w:rPr>
              <w:t>ISSUER PURCHASES OF EQUITY SECURITIES.</w:t>
            </w:r>
          </w:p>
        </w:tc>
        <w:tc>
          <w:tcPr>
            <w:tcW w:w="3360" w:type="dxa"/>
            <w:vAlign w:val="bottom"/>
            <w:tcBorders>
              <w:top w:val="single" w:sz="8" w:color="0000EE"/>
            </w:tcBorders>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060" w:type="dxa"/>
            <w:vAlign w:val="bottom"/>
            <w:gridSpan w:val="3"/>
          </w:tcPr>
          <w:p>
            <w:pPr>
              <w:spacing w:after="0" w:line="183" w:lineRule="exact"/>
              <w:rPr>
                <w:sz w:val="20"/>
                <w:szCs w:val="20"/>
                <w:color w:val="auto"/>
              </w:rPr>
            </w:pPr>
            <w:r>
              <w:rPr>
                <w:rFonts w:ascii="Arial" w:cs="Arial" w:eastAsia="Arial" w:hAnsi="Arial"/>
                <w:sz w:val="16"/>
                <w:szCs w:val="16"/>
                <w:color w:val="0000EE"/>
              </w:rPr>
              <w:t>ITEM 6.</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RESERVED</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3"/>
        </w:trPr>
        <w:tc>
          <w:tcPr>
            <w:tcW w:w="1060" w:type="dxa"/>
            <w:vAlign w:val="bottom"/>
            <w:gridSpan w:val="3"/>
          </w:tcPr>
          <w:p>
            <w:pPr>
              <w:spacing w:after="0" w:line="183" w:lineRule="exact"/>
              <w:rPr>
                <w:sz w:val="20"/>
                <w:szCs w:val="20"/>
                <w:color w:val="auto"/>
              </w:rPr>
            </w:pPr>
            <w:r>
              <w:rPr>
                <w:rFonts w:ascii="Arial" w:cs="Arial" w:eastAsia="Arial" w:hAnsi="Arial"/>
                <w:sz w:val="16"/>
                <w:szCs w:val="16"/>
                <w:color w:val="0000EE"/>
              </w:rPr>
              <w:t>ITEM 7.</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MANAGEMENT’S DISCUSSION AND ANALYSIS OF FINANCIAL CONDITION AND RESULTS</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40" w:type="dxa"/>
            <w:vAlign w:val="bottom"/>
            <w:tcBorders>
              <w:top w:val="single" w:sz="8" w:color="0000EE"/>
            </w:tcBorders>
            <w:gridSpan w:val="30"/>
          </w:tcPr>
          <w:p>
            <w:pPr>
              <w:spacing w:after="0" w:line="169" w:lineRule="exact"/>
              <w:rPr>
                <w:sz w:val="20"/>
                <w:szCs w:val="20"/>
                <w:color w:val="auto"/>
              </w:rPr>
            </w:pPr>
            <w:r>
              <w:rPr>
                <w:rFonts w:ascii="Arial" w:cs="Arial" w:eastAsia="Arial" w:hAnsi="Arial"/>
                <w:sz w:val="16"/>
                <w:szCs w:val="16"/>
                <w:color w:val="0000EE"/>
              </w:rPr>
              <w:t>OF OPERATIONS</w:t>
            </w:r>
          </w:p>
        </w:tc>
        <w:tc>
          <w:tcPr>
            <w:tcW w:w="180" w:type="dxa"/>
            <w:vAlign w:val="bottom"/>
            <w:gridSpan w:val="2"/>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7A.</w:t>
            </w:r>
          </w:p>
        </w:tc>
        <w:tc>
          <w:tcPr>
            <w:tcW w:w="42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QUANTITATIVE AND QUALITATIVE DISCLOSURES ABOUT MARKET RISK</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rPr>
              <w:t>ITEM 8.</w:t>
            </w:r>
          </w:p>
        </w:tc>
        <w:tc>
          <w:tcPr>
            <w:tcW w:w="42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FINANCIAL STATEMENTS AND SUPPLEMENTARY DATA</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1060" w:type="dxa"/>
            <w:vAlign w:val="bottom"/>
            <w:gridSpan w:val="3"/>
          </w:tcPr>
          <w:p>
            <w:pPr>
              <w:spacing w:after="0" w:line="183" w:lineRule="exact"/>
              <w:rPr>
                <w:sz w:val="20"/>
                <w:szCs w:val="20"/>
                <w:color w:val="auto"/>
              </w:rPr>
            </w:pPr>
            <w:r>
              <w:rPr>
                <w:rFonts w:ascii="Arial" w:cs="Arial" w:eastAsia="Arial" w:hAnsi="Arial"/>
                <w:sz w:val="16"/>
                <w:szCs w:val="16"/>
                <w:color w:val="0000EE"/>
              </w:rPr>
              <w:t>ITEM 9.</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CHANGES IN AND DISAGREEMENTS WITH ACCOUNTANTS ON ACCOUNTING AND</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tcBorders>
              <w:top w:val="single" w:sz="8" w:color="0000EE"/>
            </w:tcBorders>
            <w:gridSpan w:val="27"/>
          </w:tcPr>
          <w:p>
            <w:pPr>
              <w:spacing w:after="0" w:line="169" w:lineRule="exact"/>
              <w:rPr>
                <w:sz w:val="20"/>
                <w:szCs w:val="20"/>
                <w:color w:val="auto"/>
              </w:rPr>
            </w:pPr>
            <w:r>
              <w:rPr>
                <w:rFonts w:ascii="Arial" w:cs="Arial" w:eastAsia="Arial" w:hAnsi="Arial"/>
                <w:sz w:val="16"/>
                <w:szCs w:val="16"/>
                <w:color w:val="0000EE"/>
              </w:rPr>
              <w:t>FINANCIAL DISCLOSURE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3"/>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9A.</w:t>
            </w:r>
          </w:p>
        </w:tc>
        <w:tc>
          <w:tcPr>
            <w:tcW w:w="42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CONTROLS AND PROCEDURES</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9B.</w:t>
            </w:r>
          </w:p>
        </w:tc>
        <w:tc>
          <w:tcPr>
            <w:tcW w:w="42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OTHER INFORMATION</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8"/>
              </w:rPr>
              <w:t>ITEM 9C.</w:t>
            </w:r>
          </w:p>
        </w:tc>
        <w:tc>
          <w:tcPr>
            <w:tcW w:w="42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DISCLOSURE REGARDING FOREIGN JURISDICTIONS THAT PREVENT INSPECTIONS</w:t>
            </w:r>
          </w:p>
        </w:tc>
      </w:tr>
      <w:tr>
        <w:trPr>
          <w:trHeight w:val="183"/>
        </w:trPr>
        <w:tc>
          <w:tcPr>
            <w:tcW w:w="5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80" w:type="dxa"/>
            <w:vAlign w:val="bottom"/>
            <w:tcBorders>
              <w:top w:val="single" w:sz="8" w:color="0000EE"/>
            </w:tcBorders>
            <w:gridSpan w:val="13"/>
          </w:tcPr>
          <w:p>
            <w:pPr>
              <w:jc w:val="center"/>
              <w:ind w:right="2880"/>
              <w:spacing w:after="0" w:line="183" w:lineRule="exact"/>
              <w:rPr>
                <w:sz w:val="20"/>
                <w:szCs w:val="20"/>
                <w:color w:val="auto"/>
              </w:rPr>
            </w:pPr>
            <w:r>
              <w:rPr>
                <w:rFonts w:ascii="Arial" w:cs="Arial" w:eastAsia="Arial" w:hAnsi="Arial"/>
                <w:sz w:val="16"/>
                <w:szCs w:val="16"/>
                <w:b w:val="1"/>
                <w:bCs w:val="1"/>
                <w:color w:val="0000EE"/>
                <w:w w:val="97"/>
              </w:rPr>
              <w:t>PART III</w:t>
            </w:r>
          </w:p>
        </w:tc>
        <w:tc>
          <w:tcPr>
            <w:tcW w:w="480" w:type="dxa"/>
            <w:vAlign w:val="bottom"/>
            <w:gridSpan w:val="4"/>
          </w:tcPr>
          <w:p>
            <w:pPr>
              <w:spacing w:after="0"/>
              <w:rPr>
                <w:sz w:val="15"/>
                <w:szCs w:val="15"/>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10.</w:t>
            </w:r>
          </w:p>
        </w:tc>
        <w:tc>
          <w:tcPr>
            <w:tcW w:w="42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DIRECTORS, EXECUTIVE OFFICERS AND CORPORATE GOVERNANCE</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11.</w:t>
            </w:r>
          </w:p>
        </w:tc>
        <w:tc>
          <w:tcPr>
            <w:tcW w:w="42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EXECUTIVE COMPENSATION</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1060" w:type="dxa"/>
            <w:vAlign w:val="bottom"/>
            <w:gridSpan w:val="3"/>
          </w:tcPr>
          <w:p>
            <w:pPr>
              <w:spacing w:after="0" w:line="183" w:lineRule="exact"/>
              <w:rPr>
                <w:sz w:val="20"/>
                <w:szCs w:val="20"/>
                <w:color w:val="auto"/>
              </w:rPr>
            </w:pPr>
            <w:r>
              <w:rPr>
                <w:rFonts w:ascii="Arial" w:cs="Arial" w:eastAsia="Arial" w:hAnsi="Arial"/>
                <w:sz w:val="16"/>
                <w:szCs w:val="16"/>
                <w:color w:val="0000EE"/>
              </w:rPr>
              <w:t>ITEM 12.</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SECURITY OWNERSHIP OF CERTAIN BENEFICIAL OWNERS AND MANAGEMENT AND</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800" w:type="dxa"/>
            <w:vAlign w:val="bottom"/>
            <w:tcBorders>
              <w:top w:val="single" w:sz="8" w:color="0000EE"/>
              <w:bottom w:val="single" w:sz="8" w:color="0000EE"/>
            </w:tcBorders>
            <w:gridSpan w:val="12"/>
          </w:tcPr>
          <w:p>
            <w:pPr>
              <w:spacing w:after="0" w:line="169" w:lineRule="exact"/>
              <w:rPr>
                <w:sz w:val="20"/>
                <w:szCs w:val="20"/>
                <w:color w:val="auto"/>
              </w:rPr>
            </w:pPr>
            <w:r>
              <w:rPr>
                <w:rFonts w:ascii="Arial" w:cs="Arial" w:eastAsia="Arial" w:hAnsi="Arial"/>
                <w:sz w:val="16"/>
                <w:szCs w:val="16"/>
                <w:color w:val="0000EE"/>
                <w:w w:val="98"/>
              </w:rPr>
              <w:t>RELATED STOCKHOLDER MATTERS</w:t>
            </w:r>
          </w:p>
        </w:tc>
        <w:tc>
          <w:tcPr>
            <w:tcW w:w="3800" w:type="dxa"/>
            <w:vAlign w:val="bottom"/>
            <w:tcBorders>
              <w:top w:val="single" w:sz="8" w:color="0000EE"/>
            </w:tcBorders>
            <w:gridSpan w:val="17"/>
          </w:tcPr>
          <w:p>
            <w:pPr>
              <w:spacing w:after="0"/>
              <w:rPr>
                <w:sz w:val="14"/>
                <w:szCs w:val="14"/>
                <w:color w:val="auto"/>
              </w:rPr>
            </w:pPr>
          </w:p>
        </w:tc>
        <w:tc>
          <w:tcPr>
            <w:tcW w:w="420" w:type="dxa"/>
            <w:vAlign w:val="bottom"/>
            <w:gridSpan w:val="3"/>
          </w:tcPr>
          <w:p>
            <w:pPr>
              <w:spacing w:after="0"/>
              <w:rPr>
                <w:sz w:val="14"/>
                <w:szCs w:val="14"/>
                <w:color w:val="auto"/>
              </w:rPr>
            </w:pPr>
          </w:p>
        </w:tc>
      </w:tr>
      <w:tr>
        <w:trPr>
          <w:trHeight w:val="183"/>
        </w:trPr>
        <w:tc>
          <w:tcPr>
            <w:tcW w:w="1060" w:type="dxa"/>
            <w:vAlign w:val="bottom"/>
            <w:gridSpan w:val="3"/>
          </w:tcPr>
          <w:p>
            <w:pPr>
              <w:spacing w:after="0" w:line="183" w:lineRule="exact"/>
              <w:rPr>
                <w:sz w:val="20"/>
                <w:szCs w:val="20"/>
                <w:color w:val="auto"/>
              </w:rPr>
            </w:pPr>
            <w:r>
              <w:rPr>
                <w:rFonts w:ascii="Arial" w:cs="Arial" w:eastAsia="Arial" w:hAnsi="Arial"/>
                <w:sz w:val="16"/>
                <w:szCs w:val="16"/>
                <w:color w:val="0000EE"/>
              </w:rPr>
              <w:t>ITEM 13.</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CERTAIN RELATIONSHIPS AND RELATED TRANSACTIONS, AND DIRECTOR</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EE"/>
            </w:tcBorders>
            <w:gridSpan w:val="26"/>
          </w:tcPr>
          <w:p>
            <w:pPr>
              <w:spacing w:after="0" w:line="169" w:lineRule="exact"/>
              <w:rPr>
                <w:sz w:val="20"/>
                <w:szCs w:val="20"/>
                <w:color w:val="auto"/>
              </w:rPr>
            </w:pPr>
            <w:r>
              <w:rPr>
                <w:rFonts w:ascii="Arial" w:cs="Arial" w:eastAsia="Arial" w:hAnsi="Arial"/>
                <w:sz w:val="16"/>
                <w:szCs w:val="16"/>
                <w:color w:val="0000EE"/>
              </w:rPr>
              <w:t>INDEPENDENCE</w:t>
            </w:r>
          </w:p>
        </w:tc>
        <w:tc>
          <w:tcPr>
            <w:tcW w:w="1220" w:type="dxa"/>
            <w:vAlign w:val="bottom"/>
            <w:gridSpan w:val="6"/>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10"/>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14.</w:t>
            </w:r>
          </w:p>
        </w:tc>
        <w:tc>
          <w:tcPr>
            <w:tcW w:w="42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PRINCIPAL ACCOUNTING FEES AND SERVICES</w:t>
            </w:r>
          </w:p>
        </w:tc>
      </w:tr>
      <w:tr>
        <w:trPr>
          <w:trHeight w:val="183"/>
        </w:trPr>
        <w:tc>
          <w:tcPr>
            <w:tcW w:w="5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40" w:type="dxa"/>
            <w:vAlign w:val="bottom"/>
            <w:tcBorders>
              <w:top w:val="single" w:sz="8" w:color="0000EE"/>
              <w:bottom w:val="single" w:sz="8" w:color="0000EE"/>
            </w:tcBorders>
            <w:gridSpan w:val="6"/>
          </w:tcPr>
          <w:p>
            <w:pPr>
              <w:jc w:val="center"/>
              <w:spacing w:after="0" w:line="183" w:lineRule="exact"/>
              <w:rPr>
                <w:sz w:val="20"/>
                <w:szCs w:val="20"/>
                <w:color w:val="auto"/>
              </w:rPr>
            </w:pPr>
            <w:r>
              <w:rPr>
                <w:rFonts w:ascii="Arial" w:cs="Arial" w:eastAsia="Arial" w:hAnsi="Arial"/>
                <w:sz w:val="16"/>
                <w:szCs w:val="16"/>
                <w:b w:val="1"/>
                <w:bCs w:val="1"/>
                <w:color w:val="0000EE"/>
              </w:rPr>
              <w:t>PART IV</w:t>
            </w:r>
          </w:p>
        </w:tc>
        <w:tc>
          <w:tcPr>
            <w:tcW w:w="20" w:type="dxa"/>
            <w:vAlign w:val="bottom"/>
            <w:tcBorders>
              <w:top w:val="single" w:sz="8" w:color="0000EE"/>
            </w:tcBorders>
          </w:tcPr>
          <w:p>
            <w:pPr>
              <w:spacing w:after="0"/>
              <w:rPr>
                <w:sz w:val="15"/>
                <w:szCs w:val="15"/>
                <w:color w:val="auto"/>
              </w:rPr>
            </w:pPr>
          </w:p>
        </w:tc>
        <w:tc>
          <w:tcPr>
            <w:tcW w:w="3320" w:type="dxa"/>
            <w:vAlign w:val="bottom"/>
            <w:gridSpan w:val="11"/>
          </w:tcPr>
          <w:p>
            <w:pPr>
              <w:spacing w:after="0"/>
              <w:rPr>
                <w:sz w:val="15"/>
                <w:szCs w:val="15"/>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15.</w:t>
            </w:r>
          </w:p>
        </w:tc>
        <w:tc>
          <w:tcPr>
            <w:tcW w:w="42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EXHIBIT AND FINANCIAL STATEMENT SCHEDULES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EE"/>
        </w:rPr>
        <w:t>EXHIBIT INDEX</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EE"/>
        </w:rPr>
        <w:t>SIGNATURES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3</w:t>
      </w:r>
    </w:p>
    <w:p>
      <w:pPr>
        <w:spacing w:after="0" w:line="268"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6</w:t>
      </w:r>
    </w:p>
    <w:p>
      <w:pPr>
        <w:spacing w:after="0" w:line="31"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79</w:t>
      </w:r>
    </w:p>
    <w:p>
      <w:pPr>
        <w:spacing w:after="0" w:line="19"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145</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145</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145</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145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146</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147</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147</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162</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163</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194</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194</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195</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195</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196</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196</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196</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196</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196</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197</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197</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201</w:t>
      </w:r>
    </w:p>
    <w:p>
      <w:pPr>
        <w:spacing w:after="0" w:line="200" w:lineRule="exact"/>
        <w:rPr>
          <w:sz w:val="20"/>
          <w:szCs w:val="20"/>
          <w:color w:val="auto"/>
        </w:rPr>
      </w:pPr>
    </w:p>
    <w:p>
      <w:pPr>
        <w:sectPr>
          <w:pgSz w:w="11900" w:h="16838" w:orient="portrait"/>
          <w:cols w:equalWidth="0" w:num="2">
            <w:col w:w="8140" w:space="540"/>
            <w:col w:w="33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This Annual Report on Form 10-K and the documents incorporated by reference herein contain forward-looking statements that involve substantial risks and uncertainties. All statements, other than statements of historical facts, included in this Annual Report on Form 10-K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83"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The forward-looking statements in this Annual Report on Form 10-K and the documents incorporated herein by reference include, among other things, statements about:</w:t>
      </w:r>
    </w:p>
    <w:p>
      <w:pPr>
        <w:spacing w:after="0" w:line="140" w:lineRule="exact"/>
        <w:rPr>
          <w:sz w:val="20"/>
          <w:szCs w:val="20"/>
          <w:color w:val="auto"/>
        </w:rPr>
      </w:pPr>
    </w:p>
    <w:p>
      <w:pPr>
        <w:ind w:left="720" w:right="1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54" w:lineRule="exact"/>
        <w:rPr>
          <w:rFonts w:ascii="Times New Roman" w:cs="Times New Roman" w:eastAsia="Times New Roman" w:hAnsi="Times New Roman"/>
          <w:sz w:val="18"/>
          <w:szCs w:val="18"/>
          <w:color w:val="auto"/>
        </w:rPr>
      </w:pPr>
    </w:p>
    <w:p>
      <w:pPr>
        <w:ind w:left="720" w:right="25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preclinical and early clinical nature of our business and our ability to successfully advance our current and future product candidates, through development activities, preclinical studies, and clinical trials;</w:t>
      </w:r>
    </w:p>
    <w:p>
      <w:pPr>
        <w:spacing w:after="0" w:line="170" w:lineRule="exact"/>
        <w:rPr>
          <w:rFonts w:ascii="Times New Roman" w:cs="Times New Roman" w:eastAsia="Times New Roman" w:hAnsi="Times New Roman"/>
          <w:sz w:val="18"/>
          <w:szCs w:val="18"/>
          <w:color w:val="auto"/>
        </w:rPr>
      </w:pPr>
    </w:p>
    <w:p>
      <w:pPr>
        <w:ind w:left="720" w:right="6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54"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54" w:lineRule="exact"/>
        <w:rPr>
          <w:rFonts w:ascii="Times New Roman" w:cs="Times New Roman" w:eastAsia="Times New Roman" w:hAnsi="Times New Roman"/>
          <w:sz w:val="18"/>
          <w:szCs w:val="18"/>
          <w:color w:val="auto"/>
        </w:rPr>
      </w:pPr>
    </w:p>
    <w:p>
      <w:pPr>
        <w:jc w:val="both"/>
        <w:ind w:left="720" w:right="1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the COVID-19 pandemic, or any other pandemic or global health crises may impact our business, including development activities, preclinical studies, clinical trials, supply chain and labor force;</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the success of our lead product candidate, CNTY-101;</w:t>
      </w:r>
    </w:p>
    <w:p>
      <w:pPr>
        <w:spacing w:after="0" w:line="224" w:lineRule="exact"/>
        <w:rPr>
          <w:rFonts w:ascii="Times New Roman" w:cs="Times New Roman" w:eastAsia="Times New Roman" w:hAnsi="Times New Roman"/>
          <w:sz w:val="18"/>
          <w:szCs w:val="18"/>
          <w:color w:val="auto"/>
        </w:rPr>
      </w:pPr>
    </w:p>
    <w:p>
      <w:pPr>
        <w:ind w:left="720" w:right="1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novelty of our approach to immuno-oncology treatment of cancer, utilizing iPSC-derived natural killer cells, or iNK cells, and iPSC-derived T cells, or iT cells, and the challenges we will face due to the novel nature of such technology;</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224"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170" w:lineRule="exact"/>
        <w:rPr>
          <w:rFonts w:ascii="Times New Roman" w:cs="Times New Roman" w:eastAsia="Times New Roman" w:hAnsi="Times New Roman"/>
          <w:sz w:val="18"/>
          <w:szCs w:val="18"/>
          <w:color w:val="auto"/>
        </w:rPr>
      </w:pPr>
    </w:p>
    <w:p>
      <w:pPr>
        <w:ind w:left="720" w:right="2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progress, success, cost, and timing of our development activities, preclinical studies and clinical trials;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future investigational new drug, or IND, applications and the likelihood of, and our ability to obtain and maintain, regulatory clearance of IND applications for our product candidates;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2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154" w:lineRule="exact"/>
        <w:rPr>
          <w:rFonts w:ascii="Times New Roman" w:cs="Times New Roman" w:eastAsia="Times New Roman" w:hAnsi="Times New Roman"/>
          <w:sz w:val="18"/>
          <w:szCs w:val="18"/>
          <w:color w:val="auto"/>
        </w:rPr>
      </w:pPr>
    </w:p>
    <w:p>
      <w:pPr>
        <w:jc w:val="both"/>
        <w:ind w:left="720" w:right="15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170"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Bristol-Myers Squibb Company, or Bristol-Myers Squibb, in connection with the furtherance of our collaboration programs;</w:t>
      </w:r>
    </w:p>
    <w:p>
      <w:pPr>
        <w:spacing w:after="0" w:line="154" w:lineRule="exact"/>
        <w:rPr>
          <w:rFonts w:ascii="Times New Roman" w:cs="Times New Roman" w:eastAsia="Times New Roman" w:hAnsi="Times New Roman"/>
          <w:sz w:val="18"/>
          <w:szCs w:val="18"/>
          <w:color w:val="auto"/>
        </w:rPr>
      </w:pPr>
    </w:p>
    <w:p>
      <w:pPr>
        <w:ind w:left="720" w:right="3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170" w:lineRule="exact"/>
        <w:rPr>
          <w:rFonts w:ascii="Times New Roman" w:cs="Times New Roman" w:eastAsia="Times New Roman" w:hAnsi="Times New Roman"/>
          <w:sz w:val="18"/>
          <w:szCs w:val="18"/>
          <w:color w:val="auto"/>
        </w:rPr>
      </w:pPr>
    </w:p>
    <w:p>
      <w:pPr>
        <w:ind w:left="720" w:right="13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54" w:lineRule="exact"/>
        <w:rPr>
          <w:rFonts w:ascii="Times New Roman" w:cs="Times New Roman" w:eastAsia="Times New Roman" w:hAnsi="Times New Roman"/>
          <w:sz w:val="18"/>
          <w:szCs w:val="18"/>
          <w:color w:val="auto"/>
        </w:rPr>
      </w:pPr>
    </w:p>
    <w:p>
      <w:pPr>
        <w:ind w:left="720" w:right="4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 opinion and scrutiny of cell-based immuno-oncology therapies for treating cancer and its potential impact on public perception of our company and product candidates;</w:t>
      </w:r>
    </w:p>
    <w:p>
      <w:pPr>
        <w:spacing w:after="0" w:line="154"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54"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54" w:lineRule="exact"/>
        <w:rPr>
          <w:rFonts w:ascii="Times New Roman" w:cs="Times New Roman" w:eastAsia="Times New Roman" w:hAnsi="Times New Roman"/>
          <w:sz w:val="18"/>
          <w:szCs w:val="18"/>
          <w:color w:val="auto"/>
        </w:rPr>
      </w:pPr>
    </w:p>
    <w:p>
      <w:pPr>
        <w:ind w:left="720" w:right="4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224" w:lineRule="exact"/>
        <w:rPr>
          <w:rFonts w:ascii="Times New Roman" w:cs="Times New Roman" w:eastAsia="Times New Roman" w:hAnsi="Times New Roman"/>
          <w:sz w:val="18"/>
          <w:szCs w:val="18"/>
          <w:color w:val="auto"/>
        </w:rPr>
      </w:pPr>
    </w:p>
    <w:p>
      <w:pPr>
        <w:ind w:left="720" w:right="17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and retain key members of management and other clinical and scientific personnel;</w:t>
      </w:r>
    </w:p>
    <w:p>
      <w:pPr>
        <w:spacing w:after="0" w:line="235"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224" w:lineRule="exact"/>
        <w:rPr>
          <w:rFonts w:ascii="Times New Roman" w:cs="Times New Roman" w:eastAsia="Times New Roman" w:hAnsi="Times New Roman"/>
          <w:sz w:val="18"/>
          <w:szCs w:val="18"/>
          <w:color w:val="auto"/>
        </w:rPr>
      </w:pPr>
    </w:p>
    <w:p>
      <w:pPr>
        <w:ind w:left="720" w:right="8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volatility of capital markets and other macroeconomic factors, including due to inflationary pressures, geopolitical tensions or the outbreak of hostilities or war; and</w:t>
      </w:r>
    </w:p>
    <w:p>
      <w:pPr>
        <w:spacing w:after="0" w:line="154" w:lineRule="exact"/>
        <w:rPr>
          <w:rFonts w:ascii="Times New Roman" w:cs="Times New Roman" w:eastAsia="Times New Roman" w:hAnsi="Times New Roman"/>
          <w:sz w:val="18"/>
          <w:szCs w:val="18"/>
          <w:color w:val="auto"/>
        </w:rPr>
      </w:pPr>
    </w:p>
    <w:p>
      <w:pPr>
        <w:ind w:left="720" w:right="1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described or incorporated by reference under the caption “Risk factors” in this Annual Report on Form 10-K.</w:t>
      </w:r>
    </w:p>
    <w:p>
      <w:pPr>
        <w:spacing w:after="0" w:line="154"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Annual Report on Form 10-K, we cannot guarantee that the future results, levels of activity, performance,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239"/>
        <w:spacing w:after="0" w:line="242" w:lineRule="auto"/>
        <w:rPr>
          <w:sz w:val="20"/>
          <w:szCs w:val="20"/>
          <w:color w:val="auto"/>
        </w:rPr>
      </w:pPr>
      <w:r>
        <w:rPr>
          <w:rFonts w:ascii="Arial" w:cs="Arial" w:eastAsia="Arial" w:hAnsi="Arial"/>
          <w:sz w:val="18"/>
          <w:szCs w:val="18"/>
          <w:color w:val="auto"/>
        </w:rPr>
        <w:t>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79"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You should read this Annual Report on Form 10-K and the documents that we incorporate by reference herein completely and with the understanding that our actual future results may be materially different from what we expect. We do not assume any obligation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Overview</w:t>
      </w:r>
    </w:p>
    <w:p>
      <w:pPr>
        <w:spacing w:after="0" w:line="214" w:lineRule="exact"/>
        <w:rPr>
          <w:sz w:val="20"/>
          <w:szCs w:val="20"/>
          <w:color w:val="auto"/>
        </w:rPr>
      </w:pPr>
    </w:p>
    <w:p>
      <w:pPr>
        <w:ind w:left="60" w:right="79"/>
        <w:spacing w:after="0" w:line="231" w:lineRule="auto"/>
        <w:rPr>
          <w:sz w:val="20"/>
          <w:szCs w:val="20"/>
          <w:color w:val="auto"/>
        </w:rPr>
      </w:pPr>
      <w:r>
        <w:rPr>
          <w:rFonts w:ascii="Arial" w:cs="Arial" w:eastAsia="Arial" w:hAnsi="Arial"/>
          <w:sz w:val="18"/>
          <w:szCs w:val="18"/>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fully integrated biotechnology company by developing and ultimately commercializing off-the-shelf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18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231F20"/>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 renewal capacity of iPSCs also enables the generation of master cell banks derived from single genetically engineered clones thus allowing the implementation of cost-efficient manufacturing of drug product that can be made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change the oncology treatment paradigm and market.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The key elements of our approach include: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efficient precision gene editing technology:</w:t>
      </w:r>
    </w:p>
    <w:p>
      <w:pPr>
        <w:spacing w:after="0" w:line="21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231F20"/>
        </w:rPr>
        <w:t>We have developed highly efficient gene engineering processes to generate our product candidates. Our first product candidate, CNTY-101, has six CRISPR-mediated homologous recombination and repair edits, and we plan to incorporate additional edits in our future product candidates. We are currently using the CRISPR-MAD7 nuclease to enable precise editing of the iPSC genome, and have developed proprietary applications of the CRISPR-MAD7 technology to genetically modify iPSCs by simultaneously removing target genes or adding transgenes (which is commonly known as knocking-out and knocking-in, respectively) of interest at precise genetic loci. Our approach is designed to preserve genome integrity and achieves more predictable and consistent transgene expression as compared to approaches driven by viruses or transposable segments called transposons, which result in varied gene copy number and random integration events that risk mutations, namely insertional mutagenesis.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proprietary Allo-Evasion</w:t>
      </w:r>
      <w:r>
        <w:rPr>
          <w:rFonts w:ascii="Arial" w:cs="Arial" w:eastAsia="Arial" w:hAnsi="Arial"/>
          <w:sz w:val="26"/>
          <w:szCs w:val="26"/>
          <w:i w:val="1"/>
          <w:iCs w:val="1"/>
          <w:color w:val="231F20"/>
          <w:vertAlign w:val="superscript"/>
        </w:rPr>
        <w:t>TM</w:t>
      </w:r>
      <w:r>
        <w:rPr>
          <w:rFonts w:ascii="Arial" w:cs="Arial" w:eastAsia="Arial" w:hAnsi="Arial"/>
          <w:sz w:val="18"/>
          <w:szCs w:val="18"/>
          <w:i w:val="1"/>
          <w:iCs w:val="1"/>
          <w:color w:val="231F20"/>
        </w:rPr>
        <w:t xml:space="preserve"> technology:</w:t>
      </w:r>
    </w:p>
    <w:p>
      <w:pPr>
        <w:spacing w:after="0" w:line="120" w:lineRule="exact"/>
        <w:rPr>
          <w:sz w:val="20"/>
          <w:szCs w:val="20"/>
          <w:color w:val="auto"/>
        </w:rPr>
      </w:pPr>
    </w:p>
    <w:p>
      <w:pPr>
        <w:ind w:left="60" w:right="139"/>
        <w:spacing w:after="0" w:line="224" w:lineRule="auto"/>
        <w:rPr>
          <w:sz w:val="20"/>
          <w:szCs w:val="20"/>
          <w:color w:val="auto"/>
        </w:rPr>
      </w:pPr>
      <w:r>
        <w:rPr>
          <w:rFonts w:ascii="Arial" w:cs="Arial" w:eastAsia="Arial" w:hAnsi="Arial"/>
          <w:sz w:val="18"/>
          <w:szCs w:val="18"/>
          <w:color w:val="231F20"/>
        </w:rPr>
        <w:t>We are leveraging our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to design cells capable of evading identification and destruction by the host (patient) immune system. We believe this technology may permit dosing in patients with limited or no immune preconditioning regimens. The reduction in allogeneic immune-reactivity enabled by our use of this technology, which is designed to prevent rejection by the patient’s immune system may allow repeat dosing of our CAR-modified cell therapies, and sustain therapeutic efficacy over a long period of time.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CAR and protein engineering:</w:t>
      </w:r>
    </w:p>
    <w:p>
      <w:pPr>
        <w:spacing w:after="0" w:line="210" w:lineRule="exact"/>
        <w:rPr>
          <w:sz w:val="20"/>
          <w:szCs w:val="20"/>
          <w:color w:val="auto"/>
        </w:rPr>
      </w:pPr>
    </w:p>
    <w:p>
      <w:pPr>
        <w:ind w:left="60" w:right="59"/>
        <w:spacing w:after="0"/>
        <w:rPr>
          <w:sz w:val="20"/>
          <w:szCs w:val="20"/>
          <w:color w:val="auto"/>
        </w:rPr>
      </w:pPr>
      <w:r>
        <w:rPr>
          <w:rFonts w:ascii="Arial" w:cs="Arial" w:eastAsia="Arial" w:hAnsi="Arial"/>
          <w:sz w:val="18"/>
          <w:szCs w:val="18"/>
          <w:color w:val="231F20"/>
        </w:rPr>
        <w:t>CAR design is a critical component of innovative cell therapy product candidates. We assembled a team of scientists with deep protein engineering expertise and invested in the use of the variable domain of the heavy chain antibody, or VHH binders. We believe that this antibody platform investment to develop world-class CAR engineering capabilities will allow us to create multi-specific CAR constructs targeting more than one tumor antigen. We believe that targeting multiple antigens on tumor cells will help address tumor heterogeneity and antigen loss, which are frequently observed in tumor cells. We have created a proprietary synthetic library of humanized VHH binders to enable in-house binder screens and multiple campaigns against several tumor antigens are ongoing to generate the CAR constructs for future product candidates.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Common engineered iPSC progenitor accelerates new product candidate generation:</w:t>
      </w:r>
    </w:p>
    <w:p>
      <w:pPr>
        <w:spacing w:after="0" w:line="210" w:lineRule="exact"/>
        <w:rPr>
          <w:sz w:val="20"/>
          <w:szCs w:val="20"/>
          <w:color w:val="auto"/>
        </w:rPr>
      </w:pPr>
    </w:p>
    <w:p>
      <w:pPr>
        <w:ind w:left="60" w:right="139"/>
        <w:spacing w:after="0"/>
        <w:rPr>
          <w:sz w:val="20"/>
          <w:szCs w:val="20"/>
          <w:color w:val="auto"/>
        </w:rPr>
      </w:pPr>
      <w:r>
        <w:rPr>
          <w:rFonts w:ascii="Arial" w:cs="Arial" w:eastAsia="Arial" w:hAnsi="Arial"/>
          <w:sz w:val="18"/>
          <w:szCs w:val="18"/>
          <w:color w:val="231F20"/>
        </w:rPr>
        <w:t>With other cell therapy platforms generated from cells with limited replicative capacity, the creation of a new product candidate requires starting over with each of the gene engineering steps having to be incorporated into the product. This is not only time and resource intensive; it also makes it more difficult to predict functionality and safety profile based upon products that may have been clinically tested in earlier programs. In contrast, all of our iPSC- derived product candidates include a set of shared core features intended to increase their functionality, safety, and persistence. We integrate these core features into common engineered iPSC progenitors, which have several advantages: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Significant acceleration of new product candidate generation.</w:t>
      </w:r>
    </w:p>
    <w:p>
      <w:pPr>
        <w:spacing w:after="0" w:line="210"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231F20"/>
        </w:rPr>
        <w:t>Multiple product candidates are generated by engineering additional features, such as adding different CARs to the common progenitor to create new product candidates for different tumor indications. With this approach, we do not need to re-engineer common functionalities every time we generate a new product candidate.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Robust manufacturing processes for multiple product candidates.</w:t>
      </w:r>
    </w:p>
    <w:p>
      <w:pPr>
        <w:spacing w:after="0" w:line="210"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231F20"/>
        </w:rPr>
        <w:t>Since the starting iPSC line is the same for multiple product candidates, our manufacturing processes are predictable and robust.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Predictability of product candidate functionality, safety profile, and persistence.</w:t>
      </w:r>
    </w:p>
    <w:p>
      <w:pPr>
        <w:spacing w:after="0" w:line="210"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231F20"/>
        </w:rPr>
        <w:t>Because multiple clinical candidates are derived from the same engineered iPSC line, the lessons learned from one product candidate can be leveraged across multiple product candidates, which facilitates further product development. For instance, we believe the allo-reactivity of products derived from the same common engineered iPSC progenitor should be very similar.</w:t>
      </w:r>
    </w:p>
    <w:p>
      <w:pPr>
        <w:spacing w:after="0" w:line="174"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231F20"/>
        </w:rPr>
        <w:t>We received a study may proceed notification from the U.S. Food and Drug Administration, or the FDA, for our lead product candidate CNTY-101, a CAR-iNK product candidate targeting CD19 for lymphoma, in August 2022. We initiated the Phase 1 ELiPSE-1 trial in CD19+ B-cell lymphomas and began dosing patients in February 2023. Our second product candidate, CNTY-102, is a bi-specific CD19 + CD22 CAR - iT product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231F20"/>
        </w:rPr>
        <w:t>candidate targeting lymphoma. Our newest product candidate, CNTY-107, is a Nectin-4 CAR - iT targeted product candidate for Nectin-4 positive solid tumors.</w:t>
      </w:r>
    </w:p>
    <w:p>
      <w:pPr>
        <w:spacing w:after="0" w:line="154"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231F20"/>
        </w:rPr>
        <w:t>In January 2023, we announced a strategic internal portfolio prioritization through which, among other discovery efforts, CNTY-103, a CAR-iNK product targeting CD133 and a discovery program for hematological malignancies, were de-prioritized, allowing us to further prioritize our CNTY-102 and CNTY-107 product candidates, which we believe have a higher probability of technical success and greater market potential. As a result of the operational restructuring, lab operations in Seattle and Hamilton have been closed and research activities have been consolidated in Philadelphia.</w:t>
      </w:r>
    </w:p>
    <w:p>
      <w:pPr>
        <w:spacing w:after="0" w:line="179" w:lineRule="exact"/>
        <w:rPr>
          <w:sz w:val="20"/>
          <w:szCs w:val="20"/>
          <w:color w:val="auto"/>
        </w:rPr>
      </w:pPr>
    </w:p>
    <w:p>
      <w:pPr>
        <w:ind w:left="60" w:right="159"/>
        <w:spacing w:after="0" w:line="259" w:lineRule="auto"/>
        <w:rPr>
          <w:sz w:val="20"/>
          <w:szCs w:val="20"/>
          <w:color w:val="auto"/>
        </w:rPr>
      </w:pPr>
      <w:r>
        <w:rPr>
          <w:rFonts w:ascii="Arial" w:cs="Arial" w:eastAsia="Arial" w:hAnsi="Arial"/>
          <w:sz w:val="17"/>
          <w:szCs w:val="17"/>
          <w:color w:val="231F20"/>
        </w:rPr>
        <w:t>In January 2022, we entered into a strategic collaboration with Bristol-Myers Squibb Company, or Bristol-Myers Squibb, to develop and commercialize up to four iNK or iT programs for hematological malignancies and solid tumors. The collaboration includes our fourth candidate, CNTY-104, a multi-specific collaboration program targeting acute myeloid leukemia, or AML, and CNTY-106, a multi-specific collaboration program for multiple myeloma. As there are disease settings which will favor iNK or iT products, we are actively investigating both iNK and iT cell platforms for CNTY-104 and CNTY-106, as either may have preferential clinical features.</w:t>
      </w:r>
    </w:p>
    <w:p>
      <w:pPr>
        <w:spacing w:after="0" w:line="165"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231F20"/>
        </w:rPr>
        <w:t>We are also advancing an earlier discovery stage pipeline with novel CARs and binders against multiple solid and hematological tumor targets using our iNK and iT cell therapy platforms. We believe that the therapeutics we discover and develop, if approved, will have a significant impact on the quality of life of patients suffering from devastating malignancies. Our approach to developing therapies for life-threatening cancers of highly unmet medical need potentially presents an opportunity to efficiently advance our product candidates through clinical development, regulatory approval and ultimately to commercialization.</w:t>
      </w:r>
    </w:p>
    <w:p>
      <w:pPr>
        <w:spacing w:after="0" w:line="179" w:lineRule="exact"/>
        <w:rPr>
          <w:sz w:val="20"/>
          <w:szCs w:val="20"/>
          <w:color w:val="auto"/>
        </w:rPr>
      </w:pPr>
    </w:p>
    <w:p>
      <w:pPr>
        <w:ind w:left="60" w:right="159"/>
        <w:spacing w:after="0"/>
        <w:rPr>
          <w:sz w:val="20"/>
          <w:szCs w:val="20"/>
          <w:color w:val="auto"/>
        </w:rPr>
      </w:pPr>
      <w:r>
        <w:rPr>
          <w:rFonts w:ascii="Arial" w:cs="Arial" w:eastAsia="Arial" w:hAnsi="Arial"/>
          <w:sz w:val="18"/>
          <w:szCs w:val="18"/>
          <w:color w:val="231F20"/>
        </w:rPr>
        <w:t>Our collaboration with FUJIFILM Cellular Dynamics Inc., or FCDI, provides us with licenses to certain premier iPSC technologies, patents and know-how, which gave us our initial start and enabled us to accelerate generation of our first-generation product candidates and development of our manufacturing processes. We have built and expanded on this foundation with our own resources, applying our own gene editing, protein engineering, process development, and manufacturing expertise to develop our novel product candidates and platforms for which we are developing our own intellectual property. We retain exclusive commercialization rights in the United States and other major commercial markets for our product candidates developed pursuant to our collaboration with FCDI.</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Our pipeline</w:t>
      </w:r>
    </w:p>
    <w:p>
      <w:pPr>
        <w:spacing w:after="0" w:line="214" w:lineRule="exact"/>
        <w:rPr>
          <w:sz w:val="20"/>
          <w:szCs w:val="20"/>
          <w:color w:val="auto"/>
        </w:rPr>
      </w:pPr>
    </w:p>
    <w:p>
      <w:pPr>
        <w:ind w:left="60" w:right="199"/>
        <w:spacing w:after="0"/>
        <w:rPr>
          <w:sz w:val="20"/>
          <w:szCs w:val="20"/>
          <w:color w:val="auto"/>
        </w:rPr>
      </w:pPr>
      <w:r>
        <w:rPr>
          <w:rFonts w:ascii="Arial" w:cs="Arial" w:eastAsia="Arial" w:hAnsi="Arial"/>
          <w:sz w:val="18"/>
          <w:szCs w:val="18"/>
          <w:color w:val="231F20"/>
        </w:rPr>
        <w:t>We are assembling a portfolio of allogeneic iNK and iT cell therapy product candidates across solid tumor and hematological malignancies. This pipeline is comprised of cell therapies that will address diseases where we believe current therapies are inadequate. All product candidates incorporate our proprietary Allo-EvasionTM technology to avoid host rejection and potentially increase the durability of clinical responses. We received a safe to proceed notification from the FDA for our first product candidate, CNTY-101 for the treatment of CD19+ B-cell malignancies in August 2022. In February 2023, we announced that we started dosing patients in the first-in-human Phase 1 ELiPSE-1 trial evaluating CNTY-101 in relapsed or refractory CD19 positive B-cell lymphomas.</w:t>
      </w:r>
    </w:p>
    <w:p>
      <w:pPr>
        <w:spacing w:after="0" w:line="180"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231F20"/>
        </w:rPr>
        <w:t xml:space="preserve">Our second product candidate, CNTY-102, is designed to further improve B-cell malignancy treatment by simultaneously targeting CD19 and a second antigen. Our newest product candidate, CNTY-107 is a Nectin-4 targeted product for Nectin-4+ tumors. In collaboration with Bristol Myers Squibb, we are developing CNTY-104 to treat AML. We are also developing CNTY-106 </w:t>
      </w:r>
      <w:r>
        <w:rPr>
          <w:rFonts w:ascii="Arial" w:cs="Arial" w:eastAsia="Arial" w:hAnsi="Arial"/>
          <w:sz w:val="18"/>
          <w:szCs w:val="18"/>
          <w:color w:val="000000"/>
        </w:rPr>
        <w:t>in collaboration with Bristol-Myers Squibb for multiple</w:t>
      </w:r>
      <w:r>
        <w:rPr>
          <w:rFonts w:ascii="Arial" w:cs="Arial" w:eastAsia="Arial" w:hAnsi="Arial"/>
          <w:sz w:val="18"/>
          <w:szCs w:val="18"/>
          <w:color w:val="231F20"/>
        </w:rPr>
        <w:t xml:space="preserve"> </w:t>
      </w:r>
      <w:r>
        <w:rPr>
          <w:rFonts w:ascii="Arial" w:cs="Arial" w:eastAsia="Arial" w:hAnsi="Arial"/>
          <w:sz w:val="18"/>
          <w:szCs w:val="18"/>
          <w:color w:val="000000"/>
        </w:rPr>
        <w:t>myeloma.</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development programs consist of the product candidates illustrated in the pipeline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06415" cy="2503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641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139" w:hanging="330"/>
        <w:spacing w:after="0" w:line="249" w:lineRule="auto"/>
        <w:tabs>
          <w:tab w:leader="none" w:pos="380" w:val="left"/>
        </w:tabs>
        <w:numPr>
          <w:ilvl w:val="0"/>
          <w:numId w:val="5"/>
        </w:numPr>
        <w:rPr>
          <w:rFonts w:ascii="Arial" w:cs="Arial" w:eastAsia="Arial" w:hAnsi="Arial"/>
          <w:sz w:val="13"/>
          <w:szCs w:val="13"/>
          <w:color w:val="231F20"/>
        </w:rPr>
      </w:pPr>
      <w:r>
        <w:rPr>
          <w:rFonts w:ascii="Arial" w:cs="Arial" w:eastAsia="Arial" w:hAnsi="Arial"/>
          <w:sz w:val="13"/>
          <w:szCs w:val="13"/>
          <w:color w:val="231F20"/>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and any other product candidate comprised of iNK cells that we develop in the future. CNTY-101 is no longer included in the agreement. Bayer’s rights under the option agreement are subject to important limitations. See “—Licensing, partnership and collaboration— Bayer HealthCare LLC—Option Agreement” for more information.</w:t>
      </w:r>
    </w:p>
    <w:p>
      <w:pPr>
        <w:spacing w:after="0" w:line="182" w:lineRule="exact"/>
        <w:rPr>
          <w:rFonts w:ascii="Arial" w:cs="Arial" w:eastAsia="Arial" w:hAnsi="Arial"/>
          <w:sz w:val="13"/>
          <w:szCs w:val="13"/>
          <w:color w:val="231F20"/>
        </w:rPr>
      </w:pPr>
    </w:p>
    <w:p>
      <w:pPr>
        <w:ind w:left="380" w:right="259" w:hanging="330"/>
        <w:spacing w:after="0" w:line="281" w:lineRule="auto"/>
        <w:tabs>
          <w:tab w:leader="none" w:pos="380" w:val="left"/>
        </w:tabs>
        <w:numPr>
          <w:ilvl w:val="0"/>
          <w:numId w:val="5"/>
        </w:numPr>
        <w:rPr>
          <w:rFonts w:ascii="Arial" w:cs="Arial" w:eastAsia="Arial" w:hAnsi="Arial"/>
          <w:sz w:val="13"/>
          <w:szCs w:val="13"/>
          <w:color w:val="231F20"/>
        </w:rPr>
      </w:pPr>
      <w:r>
        <w:rPr>
          <w:rFonts w:ascii="Arial" w:cs="Arial" w:eastAsia="Arial" w:hAnsi="Arial"/>
          <w:sz w:val="13"/>
          <w:szCs w:val="13"/>
          <w:color w:val="231F20"/>
        </w:rPr>
        <w:t>We entered a collaboration with Bristol-Myers Squibb to develop and commercialize up to four iNK or iT product candidates, including CNTY-104 and CNTY-106. See – Licensing, partnership and collaboration – Bristol-Myers Squibb for more information.</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CNTY-101: Our CAR-iNK product candidate targeting CD19 for relapsed, refractory B-cell lymphoma.</w:t>
      </w:r>
    </w:p>
    <w:p>
      <w:pPr>
        <w:spacing w:after="0" w:line="210"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231F20"/>
        </w:rPr>
        <w:t>Our lead product candidate, CNTY-101, is an allogeneic, iPSC-derived CAR-iNK cell therapy that has been engineered to express CD19 CAR, soluble IL-15, an EGFR safety switch, and also contains gene edits needed to incorporate Allo-EvasionTM technology. We are currently dosing patients in the Phase 1 trial for CNTY-101, ELiPSE-1.</w:t>
      </w:r>
    </w:p>
    <w:p>
      <w:pPr>
        <w:spacing w:after="0" w:line="176" w:lineRule="exact"/>
        <w:rPr>
          <w:sz w:val="20"/>
          <w:szCs w:val="20"/>
          <w:color w:val="auto"/>
        </w:rPr>
      </w:pPr>
    </w:p>
    <w:p>
      <w:pPr>
        <w:ind w:left="60" w:right="99"/>
        <w:spacing w:after="0" w:line="269" w:lineRule="auto"/>
        <w:rPr>
          <w:sz w:val="20"/>
          <w:szCs w:val="20"/>
          <w:color w:val="auto"/>
        </w:rPr>
      </w:pPr>
      <w:r>
        <w:rPr>
          <w:rFonts w:ascii="Arial" w:cs="Arial" w:eastAsia="Arial" w:hAnsi="Arial"/>
          <w:sz w:val="18"/>
          <w:szCs w:val="18"/>
          <w:i w:val="1"/>
          <w:iCs w:val="1"/>
          <w:color w:val="231F20"/>
        </w:rPr>
        <w:t>CNTY-102: Our CAR-iT product candidate targeting CD19 + CD22 for relapsed, refractory B-cell lymphoma and other B-cell malignancies.</w:t>
      </w:r>
    </w:p>
    <w:p>
      <w:pPr>
        <w:spacing w:after="0" w:line="15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 xml:space="preserve">The Company has selected targets for CNTY-102, a CAR-iT product candidate, against CD19 and CD22 for relapsed, refractory B-cell lymphoma and other B-cell malignancies. </w:t>
      </w:r>
      <w:r>
        <w:rPr>
          <w:rFonts w:ascii="Arial" w:cs="Arial" w:eastAsia="Arial" w:hAnsi="Arial"/>
          <w:sz w:val="18"/>
          <w:szCs w:val="18"/>
          <w:color w:val="231F20"/>
        </w:rPr>
        <w:t>CNTY-102 will simultaneously target CD19</w:t>
      </w:r>
      <w:r>
        <w:rPr>
          <w:rFonts w:ascii="Arial" w:cs="Arial" w:eastAsia="Arial" w:hAnsi="Arial"/>
          <w:sz w:val="18"/>
          <w:szCs w:val="18"/>
          <w:color w:val="auto"/>
        </w:rPr>
        <w:t xml:space="preserve"> </w:t>
      </w:r>
      <w:r>
        <w:rPr>
          <w:rFonts w:ascii="Arial" w:cs="Arial" w:eastAsia="Arial" w:hAnsi="Arial"/>
          <w:sz w:val="18"/>
          <w:szCs w:val="18"/>
          <w:color w:val="231F20"/>
        </w:rPr>
        <w:t>and CD22, intended to increase depth and durability of response by eliminating the effect of CD19 antigen loss that has been observed as a factor limiting treatment durability, as well as targeting CD22, an independently regulated, ubiquitous and validated B-cell target. We have elected to develop CNTY-102 on our gamma delta iT platform.</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CNTY-107: CAR- iT product candidate for the treatment of solid tumors expressing Nectin-4</w:t>
      </w:r>
    </w:p>
    <w:p>
      <w:pPr>
        <w:spacing w:after="0" w:line="21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231F20"/>
        </w:rPr>
        <w:t>CNTY-107 is an iPSC-derived Nectin-4 CAR gamma delta T-cell therapy product candidate that will be engineered with multiple features to provide several mechanisms for tumor killing. The product candidate will include core Allo-Evasion™ edits and other features designed to provide cytokine support, enhance tumor cell killing and cell fitness.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CNTY-104: Our CAR-iNK or CAR-iT multi-specific collaboration program for acute myeloid leukemia.</w:t>
      </w:r>
    </w:p>
    <w:p>
      <w:pPr>
        <w:spacing w:after="0" w:line="196"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231F20"/>
        </w:rPr>
        <w:t>CNTY-104 will utilize our multi-specific iNK or iT cells for the treatment of AML, which we intend to develop in collaboration with Bristol-Myers Squibb. We will evaluate both the iNK and iT cell therapy platforms and choose the one likely to provide the best therapeutic index in the clinic.</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CNTY-106: Our CAR-iNK or CAR-iT multispecific collaboration program for multiple myeloma.</w:t>
      </w:r>
    </w:p>
    <w:p>
      <w:pPr>
        <w:spacing w:after="0" w:line="183" w:lineRule="exact"/>
        <w:rPr>
          <w:sz w:val="20"/>
          <w:szCs w:val="20"/>
          <w:color w:val="auto"/>
        </w:rPr>
      </w:pPr>
    </w:p>
    <w:p>
      <w:pPr>
        <w:jc w:val="both"/>
        <w:ind w:left="60" w:right="159"/>
        <w:spacing w:after="0" w:line="275" w:lineRule="auto"/>
        <w:rPr>
          <w:sz w:val="20"/>
          <w:szCs w:val="20"/>
          <w:color w:val="auto"/>
        </w:rPr>
      </w:pPr>
      <w:r>
        <w:rPr>
          <w:rFonts w:ascii="Arial" w:cs="Arial" w:eastAsia="Arial" w:hAnsi="Arial"/>
          <w:sz w:val="17"/>
          <w:szCs w:val="17"/>
          <w:color w:val="231F20"/>
        </w:rPr>
        <w:t>CNTY-106 will utilize our multi-specific iNK or IT cells for the treatment of multiple myeloma, which we intend to develop in collaboration with Bristol-Myers Squibb. We will evaluate both the iNK and IT cell therapy platforms and select the one that we believe will be most likely to provide the best therapeutic index in the clinic.</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Discovery platform.</w:t>
      </w:r>
    </w:p>
    <w:p>
      <w:pPr>
        <w:spacing w:after="0" w:line="198" w:lineRule="exact"/>
        <w:rPr>
          <w:sz w:val="20"/>
          <w:szCs w:val="20"/>
          <w:color w:val="auto"/>
        </w:rPr>
      </w:pPr>
    </w:p>
    <w:p>
      <w:pPr>
        <w:ind w:left="60" w:right="319"/>
        <w:spacing w:after="0" w:line="259" w:lineRule="auto"/>
        <w:rPr>
          <w:sz w:val="20"/>
          <w:szCs w:val="20"/>
          <w:color w:val="auto"/>
        </w:rPr>
      </w:pPr>
      <w:r>
        <w:rPr>
          <w:rFonts w:ascii="Arial" w:cs="Arial" w:eastAsia="Arial" w:hAnsi="Arial"/>
          <w:sz w:val="17"/>
          <w:szCs w:val="17"/>
          <w:color w:val="231F20"/>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renal cell carcinoma and other indications. For these and other indications, we plan to use multispecific CARs and explore the use of both iNK and iT cells to identify the best cell platform to build the product candidate. We continue to advance our gamma delta and alpha beta iT cell platforms for our future T cell based candidates.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use of iPSCs provides us with a differentiated advantage in product development and manufacturing</w:t>
      </w:r>
    </w:p>
    <w:p>
      <w:pPr>
        <w:spacing w:after="0" w:line="196"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231F20"/>
        </w:rPr>
        <w:t>The majority of allogeneic approaches currently in development use differentiated T cells or NK cells derived from the peripheral blood of healthy donors. Although the use of allogeneic cells in the manufacture of CAR-based T cell or NK cell therapies offers significant advantages, the use of donor cells in the production of allogeneic cell therapies has significant limitations. For example,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T cells or NK cells is severely limited, as each engineering step requires cells to replicate. Excessive expansion cycles often result in cell exhaustion, with the engineered lymphocytes (white blood cells) expressing checkpoint molecules, often accompanied by a loss of functionality. As a consequence, the engineering process for these donor-derived cell therapies requires a careful balancing between the number of replication cycles achievable and the generation of fully functional cells resulting in significant limitations.</w:t>
      </w:r>
    </w:p>
    <w:p>
      <w:pPr>
        <w:spacing w:after="0" w:line="17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231F20"/>
        </w:rPr>
        <w:t>We believe our engineered, iPSC-derived allogeneic cell therapy platforms can overcome many of the challenges inherent to cell therapy, provide a significant advantage over existing cell therapy technologies. We are focused on developing novel therapeutics designed to address many of the significant unmet medical needs in cancer treatment.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31F20"/>
        </w:rPr>
        <w:t>Core characteristics of our iPSC-derived allogeneic cell therapy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137795</wp:posOffset>
            </wp:positionV>
            <wp:extent cx="4937760" cy="131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3776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iPSC-derived allogeneic cells differentiate our therapeutic development approach</w:t>
      </w:r>
    </w:p>
    <w:p>
      <w:pPr>
        <w:spacing w:after="0" w:line="21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The source cells used in the manufacture of our allogeneic cell therapy candidates are iPSCs. An iPSC is a type of stem cell that can be generated directly from a somatic cell. A somatic cell is a cell that has become functionally differentiated, or specialized, such as a blood cell, skin cell or bone cell. IPSC- derived cell products offer significant technical and manufacturing advantages. These cells have unlimited replication capacity and can act as a progenitor cell for other cell types, including the different types of immune cells. IPSCs share similar biological properties with embryonic stem cells, such as morphology, patterns of gene and protein expression, and growth properties including mitotic activity and doubling time. Our in-licensed iPSC technology allows us to reprogram differentiated cells into iPSCs and to somatic the iPSCs to generate different immune cell types including iNK cells and iT cells.</w:t>
      </w:r>
    </w:p>
    <w:p>
      <w:pPr>
        <w:spacing w:after="0" w:line="183"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231F20"/>
        </w:rPr>
        <w:t>We believe the use of iPSCs will enable us to manufacture cell therapies of increased consistency, in a shorter period of time, at scale and at reduced cost compared to donor-derived NK or T cell therapies. Unlike these donor- derived cell therapies where all the engineering steps are performed using differentiated cells, all of our engineering procedures are performed on iPSCs. We believe that using iPSCs as a starting point for our cell therapies will allow us to produce our allogeneic cell therapies in an efficient and consistent manner. iPSCs are more amenable to multiple genetic manipulations than differentiated lymphocytes and are capable of maintaining their viability through numerous expansion rounds. We select specific single cell clones from bulk engineered cell product, which we characterize to include specified edits and ensure the absence of off-target genomic alterations. A single cell clone is used to construct a master cell bank capable of providing a sufficient number of doses for the life of a product due to the unlimited replicative capacity of iPSCs.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231F20"/>
        </w:rPr>
        <w:t>Our use of iPSCs provide us with differentiated advantages in product development and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144780</wp:posOffset>
            </wp:positionV>
            <wp:extent cx="4937760" cy="1903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3776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Our strategy</w:t>
      </w:r>
    </w:p>
    <w:p>
      <w:pPr>
        <w:spacing w:after="0" w:line="214"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231F20"/>
        </w:rPr>
        <w:t>Our vision is to be a leader in the treatment of both solid tumor and hematological malignancies that address unmet medical needs by developing innovative allogeneic cell therapy products derived from our proprietary technologies. We are initially focused on advancing the research, clinical development and commercialization of tumor-targeted iNK and iT cell therapeutics. We believe that our iPSC-derived allogeneic cell therapy platforms have the potential to overcome the limitations of existing therapies, lower manufacturing costs and improve patient outcomes. To deliver on our mission, we intend to:</w:t>
      </w:r>
    </w:p>
    <w:p>
      <w:pPr>
        <w:spacing w:after="0" w:line="181" w:lineRule="exact"/>
        <w:rPr>
          <w:sz w:val="20"/>
          <w:szCs w:val="20"/>
          <w:color w:val="auto"/>
        </w:rPr>
      </w:pPr>
    </w:p>
    <w:p>
      <w:pPr>
        <w:ind w:left="720" w:right="159" w:hanging="319"/>
        <w:spacing w:after="0" w:line="239" w:lineRule="auto"/>
        <w:tabs>
          <w:tab w:leader="none" w:pos="720" w:val="left"/>
        </w:tabs>
        <w:numPr>
          <w:ilvl w:val="0"/>
          <w:numId w:val="6"/>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Build a leading cell therapy company leveraging our comprehensive iPSC-derived allogeneic cell therapy platforms designed to overcome the limitations of existing cancer therapies. </w:t>
      </w:r>
      <w:r>
        <w:rPr>
          <w:rFonts w:ascii="Arial" w:cs="Arial" w:eastAsia="Arial" w:hAnsi="Arial"/>
          <w:sz w:val="18"/>
          <w:szCs w:val="18"/>
          <w:color w:val="231F20"/>
        </w:rPr>
        <w:t>We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have created comprehensive allogeneic cell therapy platforms that include industry-leading iPSC differentiation know- how, CRISPR-mediated precision gene editing, sophisticated protein engineering capabilities, proprietary Allo-EvasionTM technology, and cutting-edge manufacturing capabilities. We believe the incorporation of these elements into our platforms affords us numerous advantages over autologous and donor-derived differentiated T, NK and other cell therapies, and may eliminate many of the challenges inherent in these other cell therapy modalities.</w:t>
      </w:r>
    </w:p>
    <w:p>
      <w:pPr>
        <w:spacing w:after="0" w:line="187" w:lineRule="exact"/>
        <w:rPr>
          <w:rFonts w:ascii="Arial" w:cs="Arial" w:eastAsia="Arial" w:hAnsi="Arial"/>
          <w:sz w:val="18"/>
          <w:szCs w:val="18"/>
          <w:color w:val="231F20"/>
        </w:rPr>
      </w:pPr>
    </w:p>
    <w:p>
      <w:pPr>
        <w:ind w:left="720" w:right="139" w:hanging="319"/>
        <w:spacing w:after="0" w:line="239" w:lineRule="auto"/>
        <w:tabs>
          <w:tab w:leader="none" w:pos="720" w:val="left"/>
        </w:tabs>
        <w:numPr>
          <w:ilvl w:val="0"/>
          <w:numId w:val="6"/>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Maximize the potential to treat a broad range of cancers by exploiting the distinct biologies of both NK and T cells. We are initially developing our CAR-iNK and CAR-iT cell therapy platforms for multiple indications including lymphoma, Nectin-4 positive tumors, acute myeloid leukemia, multiple myeloma and other solid tumor and hematological malignancies. </w:t>
      </w:r>
      <w:r>
        <w:rPr>
          <w:rFonts w:ascii="Arial" w:cs="Arial" w:eastAsia="Arial" w:hAnsi="Arial"/>
          <w:sz w:val="18"/>
          <w:szCs w:val="18"/>
          <w:color w:val="231F20"/>
        </w:rPr>
        <w:t>We anticipate each</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regimens that simultaneously incorporate both CAR-iNK and CAR-iT cells in the treatment of individual patients.</w:t>
      </w:r>
    </w:p>
    <w:p>
      <w:pPr>
        <w:spacing w:after="0" w:line="183" w:lineRule="exact"/>
        <w:rPr>
          <w:rFonts w:ascii="Arial" w:cs="Arial" w:eastAsia="Arial" w:hAnsi="Arial"/>
          <w:sz w:val="18"/>
          <w:szCs w:val="18"/>
          <w:color w:val="231F20"/>
        </w:rPr>
      </w:pPr>
    </w:p>
    <w:p>
      <w:pPr>
        <w:ind w:left="720" w:right="199" w:hanging="319"/>
        <w:spacing w:after="0" w:line="238" w:lineRule="auto"/>
        <w:tabs>
          <w:tab w:leader="none" w:pos="720" w:val="left"/>
        </w:tabs>
        <w:numPr>
          <w:ilvl w:val="0"/>
          <w:numId w:val="6"/>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Leverage our Allo-EvasionTM technology across our product platform to avoid host rejection and enable repeat dosing. </w:t>
      </w:r>
      <w:r>
        <w:rPr>
          <w:rFonts w:ascii="Arial" w:cs="Arial" w:eastAsia="Arial" w:hAnsi="Arial"/>
          <w:sz w:val="18"/>
          <w:szCs w:val="18"/>
          <w:color w:val="231F20"/>
        </w:rPr>
        <w:t>Central to the potential clinical performance of our iPSC-derived cell</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therapies is our novel and proprietary Allo-EvasionTM technology, which we intend to implement across our entire product platform. This proprietary technology allows us to engineer cells designed to avoid recognition and rejection by the host immune system. Furthermore, it enables repeat dosing, which we believe will enable us to immediately reinforce the immunological line of defense as cells dosed previously succumb to immune exhaustion and provide our cell therapies the benefit of enhanced durability and persistence. We believe this may reduce or possibly eliminate the need for immune preconditioning regimens, and enhance the recruitment of host immune cells to participate in the anti-tumor response. We believe these advantages could enable the implementation of more flexible and effective dosing protocols for our off-the-shelf product candidates, which we anticipate will increase physician and patient access.</w:t>
      </w:r>
    </w:p>
    <w:p>
      <w:pPr>
        <w:spacing w:after="0" w:line="182" w:lineRule="exact"/>
        <w:rPr>
          <w:rFonts w:ascii="Arial" w:cs="Arial" w:eastAsia="Arial" w:hAnsi="Arial"/>
          <w:sz w:val="18"/>
          <w:szCs w:val="18"/>
          <w:color w:val="231F20"/>
        </w:rPr>
      </w:pPr>
    </w:p>
    <w:p>
      <w:pPr>
        <w:ind w:left="720" w:right="99" w:hanging="319"/>
        <w:spacing w:after="0" w:line="238" w:lineRule="auto"/>
        <w:tabs>
          <w:tab w:leader="none" w:pos="720" w:val="left"/>
        </w:tabs>
        <w:numPr>
          <w:ilvl w:val="0"/>
          <w:numId w:val="6"/>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Exploit serial gene editing of iPSCs to create product candidates with enhanced functionalities and fit for purpose product characteristics. </w:t>
      </w:r>
      <w:r>
        <w:rPr>
          <w:rFonts w:ascii="Arial" w:cs="Arial" w:eastAsia="Arial" w:hAnsi="Arial"/>
          <w:sz w:val="18"/>
          <w:szCs w:val="18"/>
          <w:color w:val="231F20"/>
        </w:rPr>
        <w:t>We utilize CRISPR-mediated precision gene editing that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allows us to incorporate multiple transgenes and knock-outs to achieve precise genetic modifications at defined locations in the iPSC genome. Our lead clinical product candidate, CNTY-101, incorporates six gene edits, which we believe are essential attributes necessary for meaningful clinical performance, including a CAR to mediate tumor recognition and killing, features to evade immune rejection and a safety switch to enable product elimination if ever necessary. We believe this initial set of gene edits will form the foundation for follow-on product candidate development. Additionally, we believe our investment in our gene editing technology will allow us to expand upon our current capabilities and integrate further fit for purpose gene edits intended to enhance clinical performance of our future product candidates.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20" w:right="79" w:hanging="319"/>
        <w:spacing w:after="0" w:line="238" w:lineRule="auto"/>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Leverage our own manufacturing infrastructure, product and process understanding, and scale-up technologies to minimize manufacturing risk. </w:t>
      </w:r>
      <w:r>
        <w:rPr>
          <w:rFonts w:ascii="Arial" w:cs="Arial" w:eastAsia="Arial" w:hAnsi="Arial"/>
          <w:sz w:val="18"/>
          <w:szCs w:val="18"/>
          <w:color w:val="000000"/>
        </w:rPr>
        <w:t>We are strategically investing in manufacturing</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000000"/>
        </w:rPr>
        <w:t>across all aspects of the value chain to become leaders in the industry. We have built internal manufacturing facilities, including our Branchburg, New Jersey Current Good Manufacturing Practices, or cGMP, plant, that we believe will enable us to learn and iterate more rapidly and increase control of development timelines for expedited development of high-quality product candidates. We are in the process of tech transferring the first product into our cGMP facility for the purpose of producing and releasing it, as well as future products, from this facility for clinical trials. We will continue to invest in process and analytical development capabilities and closely study our cell process parameters that affect product quality. Furthermore, we intend to establish expertise in scale-up technologies designed to enable optimal manufacturing scale, which we believe will reduce cost of goods and improve patient access.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Background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The role of NK cells and T cells in the human immune system</w:t>
      </w:r>
    </w:p>
    <w:p>
      <w:pPr>
        <w:spacing w:after="0" w:line="212"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231F20"/>
        </w:rPr>
        <w:t>The human immune system is comprised of two integrated systems, the innate immune system and the adaptive immune system. The innate immune system involves an immediate, non-specific response to recognize and protect against foreign pathogens based on broadly conserved pathogen associated molecular patterns and generally lacks pathogen or disease-specific immune memory.</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Innate immune system—NK Cells</w:t>
      </w:r>
    </w:p>
    <w:p>
      <w:pPr>
        <w:spacing w:after="0" w:line="198" w:lineRule="exact"/>
        <w:rPr>
          <w:sz w:val="20"/>
          <w:szCs w:val="20"/>
          <w:color w:val="auto"/>
        </w:rPr>
      </w:pPr>
    </w:p>
    <w:p>
      <w:pPr>
        <w:ind w:left="60" w:right="259"/>
        <w:spacing w:after="0"/>
        <w:rPr>
          <w:sz w:val="20"/>
          <w:szCs w:val="20"/>
          <w:color w:val="auto"/>
        </w:rPr>
      </w:pPr>
      <w:r>
        <w:rPr>
          <w:rFonts w:ascii="Arial" w:cs="Arial" w:eastAsia="Arial" w:hAnsi="Arial"/>
          <w:sz w:val="18"/>
          <w:szCs w:val="18"/>
          <w:color w:val="231F20"/>
        </w:rPr>
        <w:t>Cytotoxic NK cells are part of the front-line innate immune response, and in this capacity, monitor the body for signs of pathogens or signals of disease. NK cells have the unique ability to selectively identify and destroy abnormal cells through multiple direct and indirect mechanisms while leaving normal healthy cells unharmed. These mechanisms include (i) direct innate killing by binding to stress ligands expressed by diseased or dysfunctional cells and releasing toxic granules and perforins, (ii) indirect killing by producing and releasing proinflammatory cytokines that play a pivotal role in orchestrating the adaptive immune response, and (iii) antibody-mediated targeted killing by binding to cells targeted for elimination through a process known as antibody-dependent cellular cytotoxicity.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Adaptive immune system—T Cells</w:t>
      </w:r>
    </w:p>
    <w:p>
      <w:pPr>
        <w:spacing w:after="0" w:line="19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adaptive immune system is characterized by antigen-specific immune responses mediated by T and B cells. T cells are distinguished from other immune system cells by the presence of a T cell receptor, or TCR, on their surface. TCRs are activated through engagement with antigens on the major histocompatibility complex, or MHC, of cells. In humans, these antigens are known as human leukocyte antigens, or HLAs. Upon antigen recognition, CD8 T cells, also referred to as cytotoxic lymphocytes, or CTLs, bind to the MHC-antigen complex, become activated and destroy the targeted cell. The adaptive immune responses require several days to develop because T and B cells need to undergo clonal expansion before they can mount an immune response. The innate and adaptive immune systems also differ on the longevity of the immune response. After elimination of the pathogen, T and B cells can persist for decades as memory cells and quickly respond to new challenges by the same pathogen. We seek to take advantage of the unique properties of T cells and their proven anti-cancer activity to engineer iPSC-derived T cell products.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Cellular immunotherapy and its use in the treatment of cancer</w:t>
      </w:r>
    </w:p>
    <w:p>
      <w:pPr>
        <w:spacing w:after="0" w:line="185"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231F20"/>
        </w:rPr>
        <w:t>Cellular immunotherapy is a type of immunotherapy that focuses on modulating or enhancing the activity of different lymphocytes, in particular CTLs and NK cells, to treat cancer. The cells are typically engineered with receptors that redirect them to recognize and destroy tumor cells. A frequently used approach for cellular immunotherapy involves CARs on the surface of a lymphocyte that enable the CTL or NK cell to recognize specific antigens that are present on the surface of tumor cells.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231F20"/>
        </w:rPr>
        <w:t>At one end of the CAR is single or multiple binding domains that engage one or more target antigens. These binding domains are exposed to the outside of the engineered lymphocyte, where they can recognize the target antigen or antigens. To enable the engineering of multi-specific CARs, we use camelid VHH antibodies.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Our use of camelid VHH antibodies enables our design of multi-specific binding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137795</wp:posOffset>
            </wp:positionV>
            <wp:extent cx="4920615" cy="1800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2061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231F20"/>
        </w:rPr>
        <w:t>As illustrated above, our CAR constructs incorporate VHHs. VHH domains are derived from a camelid antibody, a type of antibody found in camels, llamas and sharks, that consists of a heavy chain only with one variable region. This structure gives us greater design flexibility, including the use of concatemers that target multiple epitopes on the same antigen (biparatopic CARs) or multiple tumor antigens (bi- or tri-specific CARs).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Advancements in cell therapy approaches have enhanced treatment alternatives for patients</w:t>
      </w:r>
    </w:p>
    <w:p>
      <w:pPr>
        <w:spacing w:after="0" w:line="210"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231F20"/>
        </w:rPr>
        <w:t>Cell therapy has built on the success of already approved autologous CAR-T cell therapies. Allogeneic therapy, which uses lymphocytes donated by a healthy donor as the starting material, is designed to overcome several limitations inherent in the autologous approach. We believe the use of iPSC-derived cells further expands the therapeutic potential of cell therapy beyond those that utilize healthy donor-derived NK or T cells.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Evolution of targeted cell therapies in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137795</wp:posOffset>
            </wp:positionV>
            <wp:extent cx="4886325" cy="26492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8632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Advantages of iPSC vs. donor-derived approaches</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231F20"/>
        </w:rPr>
        <w:t>An iPSC is a type of stem cell that can be generated directly from a functionally differentiated somatic cell such as a blood cell, skin cell or bone cell. IPSC-derived cell products offer what we believe are significant technical and manufacturing advantages compared to both autologous and other allogeneic approaches. IPSC cells can propagate indefinitely and can act as a progenitor cell for other cell types, including the different types of immune cells. Our iPSC technology allows us to reprogram differentiated cells to become iPSCs and to then differentiate the iPSCs to generate different immune cell types including NK cells and T cells. We believe some of the advantages offered by iPSCs are: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Receptive to complex genetic editing.</w:t>
      </w:r>
    </w:p>
    <w:p>
      <w:pPr>
        <w:spacing w:after="0" w:line="21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231F20"/>
        </w:rPr>
        <w:t>We believe that iPSCs are far more amenable to multiple genetic manipulations than donor-derived NK cells and T cells because iPSC cells can undergo multiple rounds of replication without loss of functionality. In contrast, differentiated cells used in donor derived allogeneic approaches are limited to just a few genetic edits, which can impact their overall functionality. The number of edits that can be introduced into the genome of differentiated NK cells or T cells is limited because each engineering step requires cells to replicate and too many expansion cycles often result in cell exhaustion and loss of functionality.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Significant replication capacity.</w:t>
      </w:r>
    </w:p>
    <w:p>
      <w:pPr>
        <w:spacing w:after="0" w:line="210"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231F20"/>
        </w:rPr>
        <w:t>iPSCs are derived from single cell clones, which are used to construct a master cell bank capable of providing a sufficient number of doses for the life of a product due to the unlimited replicative capacity of iPSCs.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Streamlined manufacturing and consistent product.</w:t>
      </w:r>
    </w:p>
    <w:p>
      <w:pPr>
        <w:spacing w:after="0" w:line="210"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231F20"/>
        </w:rPr>
        <w:t>The use of a single master cell bank allows iPSC-derived products to be produced with greater consistency, at the greatest possible scale and at reduced cost compared to donor-derived NK cells or T cells.</w:t>
      </w:r>
    </w:p>
    <w:p>
      <w:pPr>
        <w:spacing w:after="0" w:line="154"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231F20"/>
        </w:rPr>
        <w:t>We believe that iPSC-derived cell therapies provide meaningful advantages over other modalities and have the potential to change the oncology treatment paradigm.</w:t>
      </w:r>
    </w:p>
    <w:p>
      <w:pPr>
        <w:sectPr>
          <w:pgSz w:w="11900" w:h="16838" w:orient="portrait"/>
          <w:cols w:equalWidth="0" w:num="1">
            <w:col w:w="9019"/>
          </w:cols>
          <w:pgMar w:left="1440" w:top="513" w:right="1440"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Stages of iPSC gene editing, characterization, and clonal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137795</wp:posOffset>
            </wp:positionV>
            <wp:extent cx="4011930" cy="257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1193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i w:val="1"/>
          <w:iCs w:val="1"/>
          <w:color w:val="231F20"/>
        </w:rPr>
        <w:t>Stages of iPSC gene editing, characterization, and clonal selection prior to the generation of the engineered iPSC master cell bank (MCB). Genetic engineering of our product candidates occurs exclusively at the iPSC stage, where the cells have unlimited replicative capacity and pluripotency. In the above figure, we highlight the multiple steps required for selection of the final CNTY-101 product candidate. Gene edited iPSCs from multiple donors were enriched for having the introduced transgenes and knockouts and subsequently cloned at the single cell level. Uniform expression of the transgenes and knockouts was confirmed, and clones were evaluated for their growth potential, genetic profile, differentiation potential into iNK cells, in vitro functionality, and in vivo performance (tumor growth inhibition, persistence and toxicity).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rationale for developing both iNK and iT allogeneic cell therapy platforms</w:t>
      </w:r>
    </w:p>
    <w:p>
      <w:pPr>
        <w:spacing w:after="0" w:line="210"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231F20"/>
        </w:rPr>
        <w:t>We are initially focusing on two immune effector cell platforms, CAR-iNK and CAR-iT.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therapies that simultaneously incorporate both CAR-iNK and CAR-iT cells in the treatment of individual patients. We believe that gene engineering and control over differentiation during manufacturing may mitigate some of the liabilities of a given cell type while preserving the most desirable features. Examples of this include the potential reduction of the risk of graft-versus-host disease, or GvHD, in iT cells through the use of TCRs that are not expected to cause GvHD, which we refer to herein as Trusted</w:t>
      </w:r>
    </w:p>
    <w:p>
      <w:pPr>
        <w:spacing w:after="0" w:line="183" w:lineRule="exact"/>
        <w:rPr>
          <w:sz w:val="20"/>
          <w:szCs w:val="20"/>
          <w:color w:val="auto"/>
        </w:rPr>
      </w:pPr>
    </w:p>
    <w:p>
      <w:pPr>
        <w:jc w:val="both"/>
        <w:ind w:left="60" w:right="459"/>
        <w:spacing w:after="0" w:line="253" w:lineRule="auto"/>
        <w:rPr>
          <w:sz w:val="20"/>
          <w:szCs w:val="20"/>
          <w:color w:val="auto"/>
        </w:rPr>
      </w:pPr>
      <w:r>
        <w:rPr>
          <w:rFonts w:ascii="Arial" w:cs="Arial" w:eastAsia="Arial" w:hAnsi="Arial"/>
          <w:sz w:val="18"/>
          <w:szCs w:val="18"/>
          <w:color w:val="231F20"/>
        </w:rPr>
        <w:t>TCRs, or the potential extension of cell persistence of NK cells through the addition of cytokine signaling to promote survival. Finally, there are also clinical settings in which a putative shortcoming inherent to one cell type (e.g., short persistence of NK cells) might confer an advantage.</w:t>
      </w:r>
    </w:p>
    <w:p>
      <w:pPr>
        <w:spacing w:after="0" w:line="169"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231F20"/>
        </w:rPr>
        <w:t>Ultimately, the development of both platforms enables a unique opportunity to merge the intrinsic biology of these lymphocyte subsets with desirable engineering attributes to tailor therapies best suited for the clinical path being pursued.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231F20"/>
        </w:rPr>
        <w:t>Development of CAR-NK and CAR-T platforms: distinct biology influences disease-specific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144780</wp:posOffset>
            </wp:positionV>
            <wp:extent cx="5554980" cy="2049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5498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Our proprietary technology and differentiated approach</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Advanced cell engineering expertise further differentiates our iPSC-derived allogeneic cell therapies</w:t>
      </w:r>
    </w:p>
    <w:p>
      <w:pPr>
        <w:spacing w:after="0" w:line="210" w:lineRule="exact"/>
        <w:rPr>
          <w:sz w:val="20"/>
          <w:szCs w:val="20"/>
          <w:color w:val="auto"/>
        </w:rPr>
      </w:pPr>
    </w:p>
    <w:p>
      <w:pPr>
        <w:ind w:left="60" w:right="179"/>
        <w:spacing w:after="0" w:line="228" w:lineRule="auto"/>
        <w:rPr>
          <w:sz w:val="20"/>
          <w:szCs w:val="20"/>
          <w:color w:val="auto"/>
        </w:rPr>
      </w:pPr>
      <w:r>
        <w:rPr>
          <w:rFonts w:ascii="Arial" w:cs="Arial" w:eastAsia="Arial" w:hAnsi="Arial"/>
          <w:sz w:val="18"/>
          <w:szCs w:val="18"/>
          <w:color w:val="231F20"/>
        </w:rPr>
        <w:t>Our research and development team includes personnel with deep expertise in cell engineering. Cell engineering encompasses two critical components: genome engineering and protein engineering. We believe robust expertise in both these areas is of critical importance to realizing the potential of our iPSC-derived allogeneic cell therapy platforms. Genome engineering involves the manipulation of the cellular genome, through the use of genetic manipulation strategies including genetic knock-outs, knock-ins and HDR, to enable the creation of optimized cell products specifically tailored to address a particular disease. Protein engineering refers to the engineering and incorporation of CARs and other transgenes such as stimulatory cytokines,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molecules, safety switches, and reporter proteins to generate highly functional cell therapies. We leverage these integrated capabilities to potentially enable our cell therapies to persist longer, to overcome detection by the host immune system and to elicit an enhanced therapeutic effect.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End-to-end development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137795</wp:posOffset>
            </wp:positionV>
            <wp:extent cx="3806190" cy="1774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0619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Common engineered iPSC progenitor</w:t>
      </w:r>
    </w:p>
    <w:p>
      <w:pPr>
        <w:spacing w:after="0" w:line="210" w:lineRule="exact"/>
        <w:rPr>
          <w:sz w:val="20"/>
          <w:szCs w:val="20"/>
          <w:color w:val="auto"/>
        </w:rPr>
      </w:pPr>
    </w:p>
    <w:p>
      <w:pPr>
        <w:ind w:left="60" w:right="99"/>
        <w:spacing w:after="0" w:line="229" w:lineRule="auto"/>
        <w:rPr>
          <w:sz w:val="20"/>
          <w:szCs w:val="20"/>
          <w:color w:val="auto"/>
        </w:rPr>
      </w:pPr>
      <w:r>
        <w:rPr>
          <w:rFonts w:ascii="Arial" w:cs="Arial" w:eastAsia="Arial" w:hAnsi="Arial"/>
          <w:sz w:val="18"/>
          <w:szCs w:val="18"/>
          <w:color w:val="231F20"/>
        </w:rPr>
        <w:t>All of our product candidates include a set of core features designed to improve their functionality, safety profile, and persistence. These features include (i) our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to enable the cells to avoid detection by the host immune system; (ii) a safety switch to allow for the rapid elimination of the cells from the patient if necessary;(iii) the inclusion of a homeostatic cytokine, IL-15, which promotes increased functionality and persistence </w:t>
      </w:r>
      <w:r>
        <w:rPr>
          <w:rFonts w:ascii="Arial" w:cs="Arial" w:eastAsia="Arial" w:hAnsi="Arial"/>
          <w:sz w:val="18"/>
          <w:szCs w:val="18"/>
          <w:i w:val="1"/>
          <w:iCs w:val="1"/>
          <w:color w:val="231F20"/>
        </w:rPr>
        <w:t>in vivo</w:t>
      </w:r>
      <w:r>
        <w:rPr>
          <w:rFonts w:ascii="Arial" w:cs="Arial" w:eastAsia="Arial" w:hAnsi="Arial"/>
          <w:sz w:val="18"/>
          <w:szCs w:val="18"/>
          <w:color w:val="231F20"/>
        </w:rPr>
        <w:t>, and is specific to NK cell therapy candidates; and (iv) a positron emission tomography, or PET, reporter molecule to allow for tracing of the distribution of cells upon administration, a capability we intend to include in our future product candidates. Our lead product candidate, CNTY-101, already incorporates the first three of these features. We have built all of these core features into a “common engineered iPSC progenitor” which is being utilized in the creation of a master cell bank. Further engineering to advance a development candidate for a specific target is then limited only to the addition of a CAR construct, allowing the generation of multiple product candidates targeting different indications from a single iPSC progenitor.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 single engineered iPSC progenitor can be used for multiple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137795</wp:posOffset>
            </wp:positionV>
            <wp:extent cx="4954905" cy="22542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5490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Highly efficient engineering processes</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We have designed highly efficient engineering processes to generate our product candidates. During the engineering process, we frequently combine the knock-out of specific genes with the knock-in of transgenes we seek to express. In the case of CNTY-101, our lead product candidate, we incorporate six gene edits into three engineering steps to combine the knock-out of two genes (beta-2-microglobulin, or β2m, and Class II Major Histocompatibility Complex Transactivator, or CIITA) with the knock-in of four transgenes (HLA-E, EGFR safety switch, IL-15, and CD19 CAR). The specific steps include (i) knock-out of β2m to eliminate HLA-I expression with the knock-in of HLA-E, (ii) knock-out of CIITA to eliminate HLA-II expression with the simultaneous knock-in of the EGFR safety switch and IL-15 and (iii) knock-in of the CAR construct into the adeno-associated virus insertion sequence 1, or AAVS1, locus.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Engineering steps used to generate our CNTY-101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137795</wp:posOffset>
            </wp:positionV>
            <wp:extent cx="5057775" cy="1954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5777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These modifications are enabled by our innovative use of advanced biological engineering tools and technologies coupled with the application of internal expertise. We use CRISPR-based nuclease to enable precise editing of the iPSC genome. For CNTY-101 we used the nuclease Cpf-1 but have shifted to CRISPR-MAD7 for all subsequent programs for commercial reasons. In addition to our license from Inscripta, Inc. to use CRISPR-MAD7, we also have a license from Inscripta, Inc. to access the sequence of the enzyme which allows us to develop proprietary protocols to produce and purify the enzyme in-house as well as optimize its use to edit the genome. We have optimized our use of CRISPR-MAD7 to enable CRISPR-mediated homologous recombination and repair of multiple edits per iPSC.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CRISPR mediated homologous recombination/repair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137795</wp:posOffset>
            </wp:positionV>
            <wp:extent cx="4234815" cy="27857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3481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Advantages of our proprietary Allo-Evasion</w:t>
      </w:r>
      <w:r>
        <w:rPr>
          <w:rFonts w:ascii="Arial" w:cs="Arial" w:eastAsia="Arial" w:hAnsi="Arial"/>
          <w:sz w:val="26"/>
          <w:szCs w:val="26"/>
          <w:i w:val="1"/>
          <w:iCs w:val="1"/>
          <w:color w:val="231F20"/>
          <w:vertAlign w:val="superscript"/>
        </w:rPr>
        <w:t>TM</w:t>
      </w:r>
      <w:r>
        <w:rPr>
          <w:rFonts w:ascii="Arial" w:cs="Arial" w:eastAsia="Arial" w:hAnsi="Arial"/>
          <w:sz w:val="18"/>
          <w:szCs w:val="18"/>
          <w:i w:val="1"/>
          <w:iCs w:val="1"/>
          <w:color w:val="231F20"/>
        </w:rPr>
        <w:t xml:space="preserve"> technology</w:t>
      </w:r>
    </w:p>
    <w:p>
      <w:pPr>
        <w:spacing w:after="0" w:line="120" w:lineRule="exact"/>
        <w:rPr>
          <w:sz w:val="20"/>
          <w:szCs w:val="20"/>
          <w:color w:val="auto"/>
        </w:rPr>
      </w:pPr>
    </w:p>
    <w:p>
      <w:pPr>
        <w:ind w:left="60" w:right="179"/>
        <w:spacing w:after="0" w:line="227" w:lineRule="auto"/>
        <w:rPr>
          <w:sz w:val="20"/>
          <w:szCs w:val="20"/>
          <w:color w:val="auto"/>
        </w:rPr>
      </w:pPr>
      <w:r>
        <w:rPr>
          <w:rFonts w:ascii="Arial" w:cs="Arial" w:eastAsia="Arial" w:hAnsi="Arial"/>
          <w:sz w:val="18"/>
          <w:szCs w:val="18"/>
          <w:color w:val="231F20"/>
        </w:rPr>
        <w:t>We believe that our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engineering technology will allow our cell product candidates to escape recognition and destruction by the host immune system. We believe the reduction in allogeneic reactivity enabled by our use of this technology will allow us to conduct repeat dosing of our CAR-modified cell therapies to improve their therapeutic potential. In combination with the extended killing capability of optimized immune cells derived from single genetically engineered cell cloning, we envision utilizing repeat dosing to maximize durability of response and efficacy. Additionally, we believe this technology may permit dosing in patients with limited or no immune preconditioning regimens.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The potential of Allo-Evasion</w:t>
      </w:r>
      <w:r>
        <w:rPr>
          <w:rFonts w:ascii="Arial" w:cs="Arial" w:eastAsia="Arial" w:hAnsi="Arial"/>
          <w:sz w:val="26"/>
          <w:szCs w:val="26"/>
          <w:b w:val="1"/>
          <w:bCs w:val="1"/>
          <w:color w:val="231F20"/>
          <w:vertAlign w:val="superscript"/>
        </w:rPr>
        <w:t>TM</w:t>
      </w:r>
      <w:r>
        <w:rPr>
          <w:rFonts w:ascii="Arial" w:cs="Arial" w:eastAsia="Arial" w:hAnsi="Arial"/>
          <w:sz w:val="18"/>
          <w:szCs w:val="18"/>
          <w:b w:val="1"/>
          <w:bCs w:val="1"/>
          <w:color w:val="231F20"/>
        </w:rPr>
        <w:t xml:space="preserve"> using NK inhibitory ligands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85090</wp:posOffset>
            </wp:positionV>
            <wp:extent cx="5177790" cy="1808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7779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19"/>
        <w:spacing w:after="0" w:line="222" w:lineRule="auto"/>
        <w:rPr>
          <w:sz w:val="20"/>
          <w:szCs w:val="20"/>
          <w:color w:val="auto"/>
        </w:rPr>
      </w:pPr>
      <w:r>
        <w:rPr>
          <w:rFonts w:ascii="Arial" w:cs="Arial" w:eastAsia="Arial" w:hAnsi="Arial"/>
          <w:sz w:val="18"/>
          <w:szCs w:val="18"/>
          <w:i w:val="1"/>
          <w:iCs w:val="1"/>
          <w:color w:val="231F20"/>
        </w:rPr>
        <w:t>Preventing recognition of allogeneic iNK cell product candidates by T cells and NK cells from immune competent recipients. Genetic knockout of genes necessary for HLA I and II molecule expression removes the targets of recognition by allogeneic CD8</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 xml:space="preserve"> and CD4</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 xml:space="preserve"> T cells respectively, but renders the cells susceptible to killing by recipient NK cells (middle panel). Introduction of the NK inhibitory ligand HLA-E into the product candidate (right panel) delivers a negative signal to recipient NK cells that protects them from elimination.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The combination of HLA-E and HLA-G improves protection against host NK cell killing</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694690</wp:posOffset>
            </wp:positionV>
            <wp:extent cx="3454400" cy="3549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5440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19"/>
        <w:spacing w:after="0" w:line="252" w:lineRule="auto"/>
        <w:rPr>
          <w:sz w:val="20"/>
          <w:szCs w:val="20"/>
          <w:color w:val="auto"/>
        </w:rPr>
      </w:pPr>
      <w:r>
        <w:rPr>
          <w:rFonts w:ascii="Arial" w:cs="Arial" w:eastAsia="Arial" w:hAnsi="Arial"/>
          <w:sz w:val="18"/>
          <w:szCs w:val="18"/>
          <w:i w:val="1"/>
          <w:iCs w:val="1"/>
          <w:color w:val="231F20"/>
        </w:rPr>
        <w:t>HLA-E and HLA-G engage different receptors on NK cells including NKG2A, KIRs, and LIRs. The expression of NKG2A, KIRs, and LIRs varies among NK cells from different donors. The addition of HLA-G provides further protection against NK cell rejection to protect the cell therapy product candidate from elimination.</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I</w:t>
      </w:r>
      <w:r>
        <w:rPr>
          <w:rFonts w:ascii="Arial" w:cs="Arial" w:eastAsia="Arial" w:hAnsi="Arial"/>
          <w:sz w:val="18"/>
          <w:szCs w:val="18"/>
          <w:b w:val="1"/>
          <w:bCs w:val="1"/>
          <w:color w:val="231F20"/>
        </w:rPr>
        <w:t>llustrative potential of PK of Allo-Evasion</w:t>
      </w:r>
      <w:r>
        <w:rPr>
          <w:rFonts w:ascii="Arial" w:cs="Arial" w:eastAsia="Arial" w:hAnsi="Arial"/>
          <w:sz w:val="26"/>
          <w:szCs w:val="26"/>
          <w:b w:val="1"/>
          <w:bCs w:val="1"/>
          <w:color w:val="231F20"/>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85090</wp:posOffset>
            </wp:positionV>
            <wp:extent cx="5554980" cy="21856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54980" cy="218567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Future generations of our cell therapies will embrace an extended range of capabilities</w:t>
      </w:r>
    </w:p>
    <w:p>
      <w:pPr>
        <w:spacing w:after="0" w:line="210" w:lineRule="exact"/>
        <w:rPr>
          <w:sz w:val="20"/>
          <w:szCs w:val="20"/>
          <w:color w:val="auto"/>
        </w:rPr>
      </w:pPr>
    </w:p>
    <w:p>
      <w:pPr>
        <w:ind w:left="60" w:right="279"/>
        <w:spacing w:after="0"/>
        <w:rPr>
          <w:sz w:val="20"/>
          <w:szCs w:val="20"/>
          <w:color w:val="auto"/>
        </w:rPr>
      </w:pPr>
      <w:r>
        <w:rPr>
          <w:rFonts w:ascii="Arial" w:cs="Arial" w:eastAsia="Arial" w:hAnsi="Arial"/>
          <w:sz w:val="18"/>
          <w:szCs w:val="18"/>
          <w:color w:val="231F20"/>
        </w:rPr>
        <w:t>We envision future generations of our iPSC-derived allogeneic cell therapy platforms to incorporate additional capabilities. For instance, we are working on new approaches to lessen the effects of immunosuppressive cytokines, increase the secretion of pro-inflammatory cytokines, improve tumor homing through engineered receptors, convert immune checkpoints into co-stimulatory signals and recruit and activate endogenous immunity. We believe therapeutic enhancements such as these may be particularly relevant to cell therapies intended to treat solid tumors. In addition, we intend to engineer into our iPSCs a PET reporter molecule to enable the imaging of the patient to trace the distribution of the administered cells.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Future product candidates will be designed to embrace a potentially extended range of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137795</wp:posOffset>
            </wp:positionV>
            <wp:extent cx="3394710" cy="22199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9471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231F20"/>
        </w:rPr>
        <w:t>To achieve our objective of discovering, developing and ultimately commercializing innovative cell therapies to treat cancer, we believe our core competencies and capabilities must extend well beyond a knowledge of iPSCs. In addition to deep capabilities in cell engineering, we believe the expertise needed in-house must also include iPSC biology, oncology, immunology, and manufacturing which are essential to engineer and develop cell therapies that have a high likelihood of clinical success.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Manufacturing, product quality and COGS advantages</w:t>
      </w:r>
    </w:p>
    <w:p>
      <w:pPr>
        <w:spacing w:after="0" w:line="210"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231F20"/>
        </w:rPr>
        <w:t>We believe our use of iPSCs, which have unlimited replicative capacity, will allow us to develop a streamlined manufacturing process with scalability advantages while producing consistent, high quality, off-the-shelf products at reduced manufacturing costs. Given the unlimited replicative capacity of iPSCs, we believe that a single master cell bank can be used for the lifetime of the product.</w:t>
      </w:r>
    </w:p>
    <w:p>
      <w:pPr>
        <w:spacing w:after="0" w:line="17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We intend to develop expertise in scale-up technologies to enable optimal manufacturing scale. To achieve this goal, we are building a team of process development engineers and scientists as well as manufacturing and quality staff with experience in scaling cell expansion, cell harvest and final product filling processes. In addition, we are leveraging knowledge from other modalities, such as allogeneic mesenchymal stromal cell therapies, live virus vaccines, and therapeutic proteins such as monoclonal antibodies, to identify and develop scalable technologies intended to enhance our manufacturing and production processes. We believe that these efforts will ultimately result in efficiencies of scale and reduced manufacturing costs for our products, if approved. We intend to increase our investment in scale-up technology as our product pipeline advances through development towards commercialization.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231F20"/>
        </w:rPr>
        <w:t>We are investing in internal manufacturing facilities and capabilities that we believe will enable us to analyze, learn and adapt more rapidly, reduce manufacturing costs and increase control of development and manufacturing timelines for efficient clinical development and, if approved, commercial production of our product candidates.</w:t>
      </w:r>
    </w:p>
    <w:p>
      <w:pPr>
        <w:spacing w:after="0" w:line="174"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231F20"/>
        </w:rPr>
        <w:t>A key aspect of our investment in internal manufacturing facilities and capabilities includes the construction of our Current Good Manufacturing Practices, or cGMP, manufacturing facility in Branchburg, New Jersey. We completed construction of this facility and it is now operational. This multi-product, multi-phase facility will has the capabilities and capacity to manufacture both iNK and iT cells, as well as other immune cell types, for complete optionality.</w:t>
      </w:r>
    </w:p>
    <w:p>
      <w:pPr>
        <w:spacing w:after="0" w:line="176"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231F20"/>
        </w:rPr>
        <w:t>We believe that having access to our internal manufacturing facility, along with that of FCDI, will increase clinical supply availability and provide us with manufacturing and developmental flexibility. Furthermore, the expertise and learnings at each site can be leveraged for a greater probability of success on any project at either site. We believe this manufacturing network, along with our commitment to develop expertise in process scale-up and process understanding, will enable more efficient manufacturing and clinical development with lower cost of goods and consistent product quality.</w:t>
      </w:r>
    </w:p>
    <w:p>
      <w:pPr>
        <w:spacing w:after="0" w:line="181" w:lineRule="exact"/>
        <w:rPr>
          <w:sz w:val="20"/>
          <w:szCs w:val="20"/>
          <w:color w:val="auto"/>
        </w:rPr>
      </w:pPr>
    </w:p>
    <w:p>
      <w:pPr>
        <w:ind w:left="60" w:right="359"/>
        <w:spacing w:after="0" w:line="269" w:lineRule="auto"/>
        <w:rPr>
          <w:sz w:val="20"/>
          <w:szCs w:val="20"/>
          <w:color w:val="auto"/>
        </w:rPr>
      </w:pPr>
      <w:r>
        <w:rPr>
          <w:rFonts w:ascii="Arial" w:cs="Arial" w:eastAsia="Arial" w:hAnsi="Arial"/>
          <w:sz w:val="18"/>
          <w:szCs w:val="18"/>
          <w:i w:val="1"/>
          <w:iCs w:val="1"/>
          <w:color w:val="231F20"/>
        </w:rPr>
        <w:t>Off-the-shelf commercialization opportunity for iPSC-derived allogeneic cell therapy platform derived product candidates</w:t>
      </w:r>
    </w:p>
    <w:p>
      <w:pPr>
        <w:spacing w:after="0" w:line="155"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231F20"/>
        </w:rPr>
        <w:t>Allogeneic cells that can be cryopreserved offer the inherent advantage of off-the-shelf availability. Unlike autologous products, which cannot be produced until patient material is collected, the timing for manufacturing of allogeneic products is not dependent upon the patient. Primary donor cells can be collected and genetically modified well in advance of manufacturing, and manufacturing can be planned such that product is always readily available off-the-shelf for patients.</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While cell therapies can be cryopreserved, cell quality may be negatively impacted by the freezing and thawing cycle. To combat this, we are making a significant investment in the development of robust and reliable freezing and thawing methods through rigorous examination of pre-freezing conditions that might affect the freeze/thaw, freezing parameters such as excipient types and concentrations, freezing temperature profiles, container configurations, and thawing conditions. The optimization of the many parameters that go into these steps will be enabled by the development of reliable quality testing procedures that measure the critical quality attributes of the product. We believe investing in these procedures and methods will help ensure that our cryopreserved cells maintain their quality through the freezing and thawing process.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Preclinical profiles or characteristics of development candidates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product platforms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231F20"/>
        </w:rPr>
        <w:t>The iNK cell platform is our most advanced iPSC-derived cell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139065</wp:posOffset>
            </wp:positionV>
            <wp:extent cx="5554980" cy="2348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5498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right="139"/>
        <w:spacing w:after="0" w:line="260" w:lineRule="auto"/>
        <w:rPr>
          <w:sz w:val="20"/>
          <w:szCs w:val="20"/>
          <w:color w:val="auto"/>
        </w:rPr>
      </w:pPr>
      <w:r>
        <w:rPr>
          <w:rFonts w:ascii="Arial" w:cs="Arial" w:eastAsia="Arial" w:hAnsi="Arial"/>
          <w:sz w:val="18"/>
          <w:szCs w:val="18"/>
          <w:color w:val="231F20"/>
        </w:rPr>
        <w:t>Left panel: cartoon representation of CNTY-101, our first iNK cell clinical candidate. Right panel: NALM-6 tumor growth inhibition of mice treated with CD19-CAR-iNK cells The CD19-CAR-iNK cells were administered intravenously at 1x10</w:t>
      </w:r>
      <w:r>
        <w:rPr>
          <w:rFonts w:ascii="Arial" w:cs="Arial" w:eastAsia="Arial" w:hAnsi="Arial"/>
          <w:sz w:val="26"/>
          <w:szCs w:val="26"/>
          <w:color w:val="231F20"/>
          <w:vertAlign w:val="superscript"/>
        </w:rPr>
        <w:t>7</w:t>
      </w:r>
      <w:r>
        <w:rPr>
          <w:rFonts w:ascii="Arial" w:cs="Arial" w:eastAsia="Arial" w:hAnsi="Arial"/>
          <w:sz w:val="18"/>
          <w:szCs w:val="18"/>
          <w:color w:val="231F20"/>
        </w:rPr>
        <w:t xml:space="preserve"> cells per mouse on Days 1, 8, and 15, as indicated by the arrows.</w:t>
      </w:r>
    </w:p>
    <w:p>
      <w:pPr>
        <w:spacing w:after="0" w:line="51"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231F20"/>
        </w:rPr>
        <w:t>CD19-CAR-iNK cells demonstrate statistically significant (p=0.0133) anti-tumor growth inhibition compared to untreated control animals (“Tumor only”). Tumor burden was measured as the “Average radiance” of tumor-bearing mice.</w:t>
      </w:r>
    </w:p>
    <w:p>
      <w:pPr>
        <w:spacing w:after="0" w:line="162"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231F20"/>
        </w:rPr>
        <w:t>The iT Cell platorm is closely behind and making rapid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145415</wp:posOffset>
            </wp:positionV>
            <wp:extent cx="5126355" cy="29146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26355" cy="291465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 xml:space="preserve">Left panel: cartoon representation of an iPSC-derived γδ CAR-iT cell expressing a Trusted γδ TCR and a CAR.. Right panel: </w:t>
      </w:r>
      <w:r>
        <w:rPr>
          <w:rFonts w:ascii="Arial" w:cs="Arial" w:eastAsia="Arial" w:hAnsi="Arial"/>
          <w:sz w:val="18"/>
          <w:szCs w:val="18"/>
          <w:b w:val="1"/>
          <w:bCs w:val="1"/>
          <w:color w:val="231F20"/>
        </w:rPr>
        <w:t>A</w:t>
      </w:r>
      <w:r>
        <w:rPr>
          <w:rFonts w:ascii="Arial" w:cs="Arial" w:eastAsia="Arial" w:hAnsi="Arial"/>
          <w:sz w:val="18"/>
          <w:szCs w:val="18"/>
          <w:color w:val="231F20"/>
        </w:rPr>
        <w:t xml:space="preserve">. Average NALM-6 (CD19+) tumor growth in mice treated γδ CAR-iT cells (CD19-specific CAR). The γδ CAR-iT cells were administered as a single intravenous dose of 1x107 cells per mouse on Day 1. The luciferase-labeled tumor cells were enumerated using in vivo bioluminescent imaging (magnitude of tumor growth reported as average radiance). </w:t>
      </w:r>
      <w:r>
        <w:rPr>
          <w:rFonts w:ascii="Arial" w:cs="Arial" w:eastAsia="Arial" w:hAnsi="Arial"/>
          <w:sz w:val="18"/>
          <w:szCs w:val="18"/>
          <w:b w:val="1"/>
          <w:bCs w:val="1"/>
          <w:color w:val="231F20"/>
        </w:rPr>
        <w:t>B.</w:t>
      </w:r>
      <w:r>
        <w:rPr>
          <w:rFonts w:ascii="Arial" w:cs="Arial" w:eastAsia="Arial" w:hAnsi="Arial"/>
          <w:sz w:val="18"/>
          <w:szCs w:val="18"/>
          <w:color w:val="231F20"/>
        </w:rPr>
        <w:t xml:space="preserve"> Individual animal tumor growth on day 21. All 8 control mice (tumor only) exhibited aggressive tumor growth necessitating termination at day 21. The γδ CAR-iT cells demonstrate statistically significant (*p&lt;0.0001) tumor growth inhibition compared to untreated control animals where 7 of 8 treated animals had deep responses at day 21. C. Detection of γδ CAR-iT cells in peripheral blood of treated animals. Each line represents a single animal. Note: red arrow depicts that the one treated animal with aggressive tumor growth lacked detectable γδ CAR-iT cells suggesting a technical problem with the intravenous injection of γδ CAR-iT cells.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iPSC-derived iNK cell platform</w:t>
      </w:r>
    </w:p>
    <w:p>
      <w:pPr>
        <w:spacing w:after="0" w:line="210"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231F20"/>
        </w:rPr>
        <w:t>Multiple processes have evolved to allow for the differentiation of an iPSC into an immune cell. Many of these approaches involve platforms that use various signaling molecules, referred to as feeder cells, to facilitate iPSC differentiation. We have engineered our iNK cell platform so that that it is feeder cell-free, which simplifies the manufacturing process and further reduces manufacturing costs.</w:t>
      </w:r>
    </w:p>
    <w:p>
      <w:pPr>
        <w:spacing w:after="0" w:line="174" w:lineRule="exact"/>
        <w:rPr>
          <w:sz w:val="20"/>
          <w:szCs w:val="20"/>
          <w:color w:val="auto"/>
        </w:rPr>
      </w:pPr>
    </w:p>
    <w:p>
      <w:pPr>
        <w:ind w:left="60" w:right="199"/>
        <w:spacing w:after="0" w:line="257" w:lineRule="auto"/>
        <w:rPr>
          <w:sz w:val="20"/>
          <w:szCs w:val="20"/>
          <w:color w:val="auto"/>
        </w:rPr>
      </w:pPr>
      <w:r>
        <w:rPr>
          <w:rFonts w:ascii="Arial" w:cs="Arial" w:eastAsia="Arial" w:hAnsi="Arial"/>
          <w:sz w:val="17"/>
          <w:szCs w:val="17"/>
          <w:color w:val="231F20"/>
        </w:rPr>
        <w:t>Differentiation of iPSCs to functional immune cells involves a series of process stages conducted under strictly controlled conditions, with different cytokine mixtures introduced at different process stages. IPSCs are initially differentiated into hematopoietic progenitor cells, or HPCs, during which they assemble into three-dimensional aggregates. Cells from these aggregates bud off and are replated onto different tissue culture vessels coated with a specific extracellular matrix and exposed to a cytokine cocktail that promotes differentiation of the HPCs to NK cells, a process that takes fourteen days. After differentiation, cells are incubated for seven days to activate the NK cells. We are currently capable of achieving fully functional iNK cells from iPSCs in 30 days.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The phenotype of iPSC-derived NK cells is similar to primary human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137795</wp:posOffset>
            </wp:positionV>
            <wp:extent cx="4920615" cy="1551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2061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right="419"/>
        <w:spacing w:after="0" w:line="301" w:lineRule="auto"/>
        <w:rPr>
          <w:sz w:val="20"/>
          <w:szCs w:val="20"/>
          <w:color w:val="auto"/>
        </w:rPr>
      </w:pPr>
      <w:r>
        <w:rPr>
          <w:rFonts w:ascii="Arial" w:cs="Arial" w:eastAsia="Arial" w:hAnsi="Arial"/>
          <w:sz w:val="17"/>
          <w:szCs w:val="17"/>
          <w:color w:val="231F20"/>
        </w:rPr>
        <w:t>We have intentionally focused on the parameters that define immune cell functionality to direct internal development initiatives. This focus is intended to improve upon the intellectual property licensed from FCDI.</w:t>
      </w:r>
    </w:p>
    <w:p>
      <w:pPr>
        <w:spacing w:after="0" w:line="131"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231F20"/>
        </w:rPr>
        <w:t>Accordingly, the parameters which have been the primary drivers of our activities have been cell persistence, killing potential and lack of induced toxicities, among other considerations. At the same time, we also characterize the cells phenotypically. As evidenced in the comparison presented above, NK cells derived from our iPSC- derived allogeneic cell therapy platforms are similar to primary human NK cells recovered from peripheral blood, with the phenotypic markers we evaluated displaying close alignment and the slight differences observed reflecting expected person-to-person variation.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231F20"/>
        </w:rPr>
        <w:t xml:space="preserve">Assessment of these cells’ functionality demonstrates their potential for tumor cell cytotoxicity. Through a series of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studies we evaluated the various mechanisms through which iNK cells eliminate tumor cells. As is presented below, one of the mechanisms used by NK cells to kill tumor cells involves the recognition of tumor cells lacking HLA-I by innate immune receptors. Using a leukemic cell line, K562, that lacks HLA molecules, we noted that the cell killing capacity of our iNK cells closely mirrored that of NK cells isolated from peripheral blood.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Our iNK cells kill K562 tumor cells similarly to PBMC peripheral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137795</wp:posOffset>
            </wp:positionV>
            <wp:extent cx="4011930" cy="2425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1193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right="159"/>
        <w:spacing w:after="0" w:line="252" w:lineRule="auto"/>
        <w:rPr>
          <w:sz w:val="20"/>
          <w:szCs w:val="20"/>
          <w:color w:val="auto"/>
        </w:rPr>
      </w:pPr>
      <w:r>
        <w:rPr>
          <w:rFonts w:ascii="Arial" w:cs="Arial" w:eastAsia="Arial" w:hAnsi="Arial"/>
          <w:sz w:val="18"/>
          <w:szCs w:val="18"/>
          <w:i w:val="1"/>
          <w:iCs w:val="1"/>
          <w:color w:val="231F20"/>
        </w:rPr>
        <w:t>Century’s iNK cells and peripheral blood mononuclear cell, or PBMC, NK cells were incubated with K562 tumor cells labelled with NuclightRed, or NLR, for 72 hours. Cocultures were imaged every 3 hours on the Incucyte live cell imager.</w:t>
      </w:r>
    </w:p>
    <w:p>
      <w:pPr>
        <w:spacing w:after="0" w:line="171" w:lineRule="exact"/>
        <w:rPr>
          <w:sz w:val="20"/>
          <w:szCs w:val="20"/>
          <w:color w:val="auto"/>
        </w:rPr>
      </w:pPr>
    </w:p>
    <w:p>
      <w:pPr>
        <w:jc w:val="both"/>
        <w:ind w:left="60" w:right="99"/>
        <w:spacing w:after="0" w:line="252" w:lineRule="auto"/>
        <w:rPr>
          <w:sz w:val="20"/>
          <w:szCs w:val="20"/>
          <w:color w:val="auto"/>
        </w:rPr>
      </w:pPr>
      <w:r>
        <w:rPr>
          <w:rFonts w:ascii="Arial" w:cs="Arial" w:eastAsia="Arial" w:hAnsi="Arial"/>
          <w:sz w:val="18"/>
          <w:szCs w:val="18"/>
          <w:i w:val="1"/>
          <w:iCs w:val="1"/>
          <w:color w:val="231F20"/>
        </w:rPr>
        <w:t>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169"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231F20"/>
        </w:rPr>
        <w:t>The addition of a CAR construct to the NK cell introduces a second mechanism by which tumor cells are eliminated. Our iPSC-derived NK cells demonstrated CAR-mediated tumor-cell killing of CD19 lymphoma cells, or Raji cells, comparable to peripheral blood CAR-Ts engineered with the same CAR construct.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Our CAR-iNK cells kill lymphoma cells similarly to peripheral blood 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137795</wp:posOffset>
            </wp:positionV>
            <wp:extent cx="3566160" cy="2425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i w:val="1"/>
          <w:iCs w:val="1"/>
          <w:color w:val="231F20"/>
        </w:rPr>
        <w:t>Our CAR-iNK cells and peripheral blood CAR-T cells were incubated with Raji tumor cells labelled with NLR for 60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175"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231F20"/>
        </w:rPr>
        <w:t>Our iNK cells also demonstrate the ability to engage and kill cancerous cells through multiple challenge rounds. In an evaluation of sustained killing capability, the results of which are presented below, we observed that iNK cells were successful in eliminating lymphoma cells through seven killing cycles before evidence of cell exhaustion and a decrease in cytolytic activity was observed. These results suggest that not only are the cells capable of retaining functionality and the ability to proliferate, but that the cytolytic machinery and signaling mechanism connecting target recognition to effector immune cells maintains sustained durability as well.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Our CAR-iNK cells have robust serial killing activity against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137795</wp:posOffset>
            </wp:positionV>
            <wp:extent cx="3634740" cy="24174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347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i w:val="1"/>
          <w:iCs w:val="1"/>
          <w:color w:val="231F20"/>
        </w:rPr>
        <w:t>Our CAR-iNK cells were incubated with Reh tumor cells labelled with NLR for multiple rounds of killing. Every 72 hours, the iNK cells were transferred to new tissue culture wells containing fresh tumor cells and allowed to kill for 72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 Loss in killing activity was observed between rounds seven and eight.</w:t>
      </w:r>
    </w:p>
    <w:p>
      <w:pPr>
        <w:spacing w:after="0" w:line="182" w:lineRule="exact"/>
        <w:rPr>
          <w:sz w:val="20"/>
          <w:szCs w:val="20"/>
          <w:color w:val="auto"/>
        </w:rPr>
      </w:pPr>
    </w:p>
    <w:p>
      <w:pPr>
        <w:ind w:left="60" w:right="119"/>
        <w:spacing w:after="0"/>
        <w:rPr>
          <w:sz w:val="20"/>
          <w:szCs w:val="20"/>
          <w:color w:val="auto"/>
        </w:rPr>
      </w:pPr>
      <w:r>
        <w:rPr>
          <w:rFonts w:ascii="Arial" w:cs="Arial" w:eastAsia="Arial" w:hAnsi="Arial"/>
          <w:sz w:val="18"/>
          <w:szCs w:val="18"/>
          <w:color w:val="231F20"/>
        </w:rPr>
        <w:t xml:space="preserve">The tumor-killing potential of our iNK cells was confirmed through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evaluations. Raji lymphoma cells were administered intravenously to mice that were then dosed three consecutive days with both non-engineered and CAR- modified iNK cells, which had also been engineered to express the IL-15 cytokine. Tumor growth was then monitored over the following 20 days. As is illustrated in the graph below, the CAR-IL15 iNK cells showed meaningful anti-tumor activity, with tumor growth inhibition shown to be as high as 84.7%. Notably this study was conducted using bulk engineered material, prior to single cell cloning, which we believe has the potential to enhance anti-tumor activity.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 xml:space="preserve">Our CAR-iNK cells have robust anti-tumor activity </w:t>
      </w:r>
      <w:r>
        <w:rPr>
          <w:rFonts w:ascii="Times New Roman" w:cs="Times New Roman" w:eastAsia="Times New Roman" w:hAnsi="Times New Roman"/>
          <w:sz w:val="18"/>
          <w:szCs w:val="18"/>
          <w:b w:val="1"/>
          <w:bCs w:val="1"/>
          <w:i w:val="1"/>
          <w:iCs w:val="1"/>
          <w:color w:val="231F20"/>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147955</wp:posOffset>
            </wp:positionV>
            <wp:extent cx="3909060" cy="3540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09060"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31F20"/>
        </w:rPr>
        <w:t>The above chart displays Daudi tumor growth inhibition, or TGI, of mice treated with CD19-CAR-iNK cells administered under three different dose schedules. Average radiance, bioluminescence, or BLI of mice bearing intraperitoneal Daudi lymphoma xenografts, treated with CD19-CAR-iNK cells. Mice were implanted intraperitoneal with 1x105 cells Daudi-Fluc cells on Day 0 and CD19-CAR-iNK cells were administered intravenously at 1x107 cells per mouse on Days 1, 4, 8, 15, 18, and 22 as indicated by the arrows above.</w:t>
      </w:r>
    </w:p>
    <w:p>
      <w:pPr>
        <w:spacing w:after="0" w:line="17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231F20"/>
        </w:rPr>
        <w:t>In addition, to enhanced functionality, the engineered IL-15 has shown an identifiable benefit to persistence. As is presented in the illustration below, we observed viable iNK cells in the lungs and peripheral blood of mice 20 days after a single administration of CAR-iNK cells with IL-15, a result which was not noted in mice administered CAR- iNK cells without the addition of the cytokine.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The addition of a homeostatic cytokine significantly enhances iNK persistence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137795</wp:posOffset>
            </wp:positionV>
            <wp:extent cx="5554980" cy="44316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54980" cy="443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right="159"/>
        <w:spacing w:after="0" w:line="210" w:lineRule="auto"/>
        <w:rPr>
          <w:sz w:val="20"/>
          <w:szCs w:val="20"/>
          <w:color w:val="auto"/>
        </w:rPr>
      </w:pPr>
      <w:r>
        <w:rPr>
          <w:rFonts w:ascii="Arial" w:cs="Arial" w:eastAsia="Arial" w:hAnsi="Arial"/>
          <w:sz w:val="18"/>
          <w:szCs w:val="18"/>
          <w:i w:val="1"/>
          <w:iCs w:val="1"/>
          <w:color w:val="231F20"/>
        </w:rPr>
        <w:t>iNK cells were engineered to express a CD19-specific CAR molecule as well as secreted IL-15 to enhance iNK persistence in vivo. Mice received by intravenous injection: untreated (control), 1x10</w:t>
      </w:r>
      <w:r>
        <w:rPr>
          <w:rFonts w:ascii="Arial" w:cs="Arial" w:eastAsia="Arial" w:hAnsi="Arial"/>
          <w:sz w:val="26"/>
          <w:szCs w:val="26"/>
          <w:i w:val="1"/>
          <w:iCs w:val="1"/>
          <w:color w:val="231F20"/>
          <w:vertAlign w:val="superscript"/>
        </w:rPr>
        <w:t>7</w:t>
      </w:r>
      <w:r>
        <w:rPr>
          <w:rFonts w:ascii="Arial" w:cs="Arial" w:eastAsia="Arial" w:hAnsi="Arial"/>
          <w:sz w:val="18"/>
          <w:szCs w:val="18"/>
          <w:i w:val="1"/>
          <w:iCs w:val="1"/>
          <w:color w:val="231F20"/>
        </w:rPr>
        <w:t xml:space="preserve"> CAR-iNKs (those lacking the secreted IL-15 [sIL-15] transgene), 1x10</w:t>
      </w:r>
      <w:r>
        <w:rPr>
          <w:rFonts w:ascii="Arial" w:cs="Arial" w:eastAsia="Arial" w:hAnsi="Arial"/>
          <w:sz w:val="26"/>
          <w:szCs w:val="26"/>
          <w:i w:val="1"/>
          <w:iCs w:val="1"/>
          <w:color w:val="231F20"/>
          <w:vertAlign w:val="superscript"/>
        </w:rPr>
        <w:t>7</w:t>
      </w:r>
      <w:r>
        <w:rPr>
          <w:rFonts w:ascii="Arial" w:cs="Arial" w:eastAsia="Arial" w:hAnsi="Arial"/>
          <w:sz w:val="18"/>
          <w:szCs w:val="18"/>
          <w:i w:val="1"/>
          <w:iCs w:val="1"/>
          <w:color w:val="231F20"/>
        </w:rPr>
        <w:t xml:space="preserve"> CAR-iNKs-sIL-15, or 1x10</w:t>
      </w:r>
      <w:r>
        <w:rPr>
          <w:rFonts w:ascii="Arial" w:cs="Arial" w:eastAsia="Arial" w:hAnsi="Arial"/>
          <w:sz w:val="26"/>
          <w:szCs w:val="26"/>
          <w:i w:val="1"/>
          <w:iCs w:val="1"/>
          <w:color w:val="231F20"/>
          <w:vertAlign w:val="superscript"/>
        </w:rPr>
        <w:t>7</w:t>
      </w:r>
      <w:r>
        <w:rPr>
          <w:rFonts w:ascii="Arial" w:cs="Arial" w:eastAsia="Arial" w:hAnsi="Arial"/>
          <w:sz w:val="18"/>
          <w:szCs w:val="18"/>
          <w:i w:val="1"/>
          <w:iCs w:val="1"/>
          <w:color w:val="231F20"/>
        </w:rPr>
        <w:t xml:space="preserve"> CAR-iNKs-sIL-15 plus additional recombinant IL-2 on days 1, 3 &amp; 5 to enhance iNK persistence. In the upper panel </w:t>
      </w:r>
      <w:r>
        <w:rPr>
          <w:rFonts w:ascii="Arial" w:cs="Arial" w:eastAsia="Arial" w:hAnsi="Arial"/>
          <w:sz w:val="18"/>
          <w:szCs w:val="18"/>
          <w:b w:val="1"/>
          <w:bCs w:val="1"/>
          <w:i w:val="1"/>
          <w:iCs w:val="1"/>
          <w:color w:val="231F20"/>
        </w:rPr>
        <w:t>A</w:t>
      </w:r>
      <w:r>
        <w:rPr>
          <w:rFonts w:ascii="Arial" w:cs="Arial" w:eastAsia="Arial" w:hAnsi="Arial"/>
          <w:sz w:val="18"/>
          <w:szCs w:val="18"/>
          <w:i w:val="1"/>
          <w:iCs w:val="1"/>
          <w:color w:val="231F20"/>
        </w:rPr>
        <w:t xml:space="preserve"> (peripheral blood) and the lower panel </w:t>
      </w:r>
      <w:r>
        <w:rPr>
          <w:rFonts w:ascii="Arial" w:cs="Arial" w:eastAsia="Arial" w:hAnsi="Arial"/>
          <w:sz w:val="18"/>
          <w:szCs w:val="18"/>
          <w:b w:val="1"/>
          <w:bCs w:val="1"/>
          <w:i w:val="1"/>
          <w:iCs w:val="1"/>
          <w:color w:val="231F20"/>
        </w:rPr>
        <w:t>B</w:t>
      </w:r>
      <w:r>
        <w:rPr>
          <w:rFonts w:ascii="Arial" w:cs="Arial" w:eastAsia="Arial" w:hAnsi="Arial"/>
          <w:sz w:val="18"/>
          <w:szCs w:val="18"/>
          <w:i w:val="1"/>
          <w:iCs w:val="1"/>
          <w:color w:val="231F20"/>
        </w:rPr>
        <w:t xml:space="preserve"> (lungs), the presence of the sIL-15 transgene enhanced iNK persistence after 7 days. In both tissues, the addition of recombinant IL-2 via injection significantly enhanced persistence.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IPSC-derived iT cell platform</w:t>
      </w:r>
    </w:p>
    <w:p>
      <w:pPr>
        <w:spacing w:after="0" w:line="210" w:lineRule="exact"/>
        <w:rPr>
          <w:sz w:val="20"/>
          <w:szCs w:val="20"/>
          <w:color w:val="auto"/>
        </w:rPr>
      </w:pPr>
    </w:p>
    <w:p>
      <w:pPr>
        <w:ind w:left="60" w:right="59"/>
        <w:spacing w:after="0"/>
        <w:rPr>
          <w:sz w:val="20"/>
          <w:szCs w:val="20"/>
          <w:color w:val="auto"/>
        </w:rPr>
      </w:pPr>
      <w:r>
        <w:rPr>
          <w:rFonts w:ascii="Arial" w:cs="Arial" w:eastAsia="Arial" w:hAnsi="Arial"/>
          <w:sz w:val="18"/>
          <w:szCs w:val="18"/>
          <w:color w:val="231F20"/>
        </w:rPr>
        <w:t xml:space="preserve">In addition to NK cells derived from our iPSC-derived allogeneic cell therapy platforms, we are also advancing the development of iPSC-derived T cells. The therapeutic properties offered by T cells, such as large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expansion capacity, extended immune memory and the potential inclusion of engineered TCRs for additional tumor killing capacity, provide compelling reasons supporting their inclusion in our anti-cancer cell therapy arsenal. However, the development of allogeneic T cell-based therapies requires addressing unique challenges, such as GvHD. GvHD occurs when allogeneic donor T cells recognize an HLA class I and class II molecules on host cells and induce a severe and potentially life-threatening immune response against the host tissues. This is a challenge we plan to overcome by selecting Trusted TCRs that do not mediate GvHD.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We are exploring two major T cell subsets to develop our iT cell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137795</wp:posOffset>
            </wp:positionV>
            <wp:extent cx="4303395" cy="2271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0339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Proprietary Trusted TCR constructs enable our generation of TrueT</w:t>
      </w:r>
      <w:r>
        <w:rPr>
          <w:rFonts w:ascii="Arial" w:cs="Arial" w:eastAsia="Arial" w:hAnsi="Arial"/>
          <w:sz w:val="26"/>
          <w:szCs w:val="26"/>
          <w:i w:val="1"/>
          <w:iCs w:val="1"/>
          <w:color w:val="231F20"/>
          <w:vertAlign w:val="superscript"/>
        </w:rPr>
        <w:t>TM</w:t>
      </w:r>
      <w:r>
        <w:rPr>
          <w:rFonts w:ascii="Arial" w:cs="Arial" w:eastAsia="Arial" w:hAnsi="Arial"/>
          <w:sz w:val="18"/>
          <w:szCs w:val="18"/>
          <w:i w:val="1"/>
          <w:iCs w:val="1"/>
          <w:color w:val="231F20"/>
        </w:rPr>
        <w:t xml:space="preserve"> cells</w:t>
      </w:r>
    </w:p>
    <w:p>
      <w:pPr>
        <w:spacing w:after="0" w:line="127"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231F20"/>
        </w:rPr>
        <w:t>Many companies that are pursing the development of allogeneic T cell therapies engineer T cell with an intentionally deleted TCR to eliminate the risk of GvHD. We have taken a fundamentally different approach; we believe that retention of the TCR is of significant importance, particularly to iPSC-derived T cells, as it helps with the differentiation and functionality of iPSC-derived T cells. We have devised strategies to utilize αβ or γδ TCRs on iPSC-derived T cells while minimizing risk of GvHD. In general, our approach capitalizes on selection of Trusted TCRs.</w:t>
      </w:r>
    </w:p>
    <w:p>
      <w:pPr>
        <w:spacing w:after="0" w:line="179"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231F20"/>
        </w:rPr>
        <w:t>γδ T cells do not recognize hypervariable HLA class I or II receptors. Instead, γδ TCRs recognize ligands that are mostly invariant between individuals and these TCRs are unlikely to mediate GvHD. We leverage this characteristic of γδ chains to engineer iPSC lines with Trusted TCRs to create T-iPSC line that will be used to differentiate iT cell products. There are also special scenarios where an αβ TCR can have properties that lessen or eliminate the risk for GvHD, such in the case of some TCRs specific for viral antigens or the invariant αβ TCR expressed by, natural killer T cells, or NKT cells. We are pursuing γδ and αβ Trusted TCR approaches because γδ and αβ T cells have meaningfully different biological properties that can be explored for different tumor indications. Because of the importance of the TCR in normal T lymphocyte development, we call iPSC-derived T cells that express a Trusted TCR TrueT</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cells as a contrast to T cell engineered without a TCR.</w:t>
      </w:r>
    </w:p>
    <w:p>
      <w:pPr>
        <w:spacing w:after="0" w:line="60" w:lineRule="exact"/>
        <w:rPr>
          <w:sz w:val="20"/>
          <w:szCs w:val="20"/>
          <w:color w:val="auto"/>
        </w:rPr>
      </w:pPr>
    </w:p>
    <w:p>
      <w:pPr>
        <w:ind w:left="60" w:right="159"/>
        <w:spacing w:after="0" w:line="230" w:lineRule="auto"/>
        <w:rPr>
          <w:sz w:val="20"/>
          <w:szCs w:val="20"/>
          <w:color w:val="auto"/>
        </w:rPr>
      </w:pPr>
      <w:r>
        <w:rPr>
          <w:rFonts w:ascii="Arial" w:cs="Arial" w:eastAsia="Arial" w:hAnsi="Arial"/>
          <w:sz w:val="18"/>
          <w:szCs w:val="18"/>
          <w:color w:val="231F20"/>
        </w:rPr>
        <w:t>For any TrueT</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cell approach there are two main strategies that can be deployed to make iPSC-derived T cells. The first is to begin with a T cell from a healthy donor where the TCR identity is known (either a γδ T cell, NKT cell or conventional αβ T cell). Such T cells can be isolated, expanded, and purified. Then the desired T cell, which carries the desired rearranged TCR genes, is reprogrammed to generate iPSCs that carry the same TCR genes. We call these T cell-derived iPSCs T-iPSCs and they can be used to produce T cells with the desired TCR. We have developed proof of concept for this approach using T-iPSC lines that were reprogrammed using peripheral blood γδ T cells. A second approach is to use iPSC that were derived from a non-T cell and thus lack a rearranged TCR. In this scenario, the desired TCR is selected and synthesized as a transgenic construct. Then the desired TCR is engineered into iPSCs such that T cells that are produced from the iPSCs will carry the engineered TCR. We have developed proof of concept for approached using an iPSC line that was derived from non-T cells, in this case CD34+ peripheral blood hematopoietic cells, where we introduced a viral-specific TCR.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59"/>
        <w:spacing w:after="0" w:line="212" w:lineRule="auto"/>
        <w:rPr>
          <w:sz w:val="20"/>
          <w:szCs w:val="20"/>
          <w:color w:val="auto"/>
        </w:rPr>
      </w:pPr>
      <w:r>
        <w:rPr>
          <w:rFonts w:ascii="Arial" w:cs="Arial" w:eastAsia="Arial" w:hAnsi="Arial"/>
          <w:sz w:val="18"/>
          <w:szCs w:val="18"/>
          <w:i w:val="1"/>
          <w:iCs w:val="1"/>
          <w:color w:val="231F20"/>
        </w:rPr>
        <w:t>Differentiation of TrueT</w:t>
      </w:r>
      <w:r>
        <w:rPr>
          <w:rFonts w:ascii="Arial" w:cs="Arial" w:eastAsia="Arial" w:hAnsi="Arial"/>
          <w:sz w:val="26"/>
          <w:szCs w:val="26"/>
          <w:i w:val="1"/>
          <w:iCs w:val="1"/>
          <w:color w:val="231F20"/>
          <w:vertAlign w:val="superscript"/>
        </w:rPr>
        <w:t>TM</w:t>
      </w:r>
      <w:r>
        <w:rPr>
          <w:rFonts w:ascii="Arial" w:cs="Arial" w:eastAsia="Arial" w:hAnsi="Arial"/>
          <w:sz w:val="18"/>
          <w:szCs w:val="18"/>
          <w:i w:val="1"/>
          <w:iCs w:val="1"/>
          <w:color w:val="231F20"/>
        </w:rPr>
        <w:t xml:space="preserve"> cells results in cells that co-express TCR and CD3 and can utilize an engineered CAR for target cell killing</w:t>
      </w:r>
    </w:p>
    <w:p>
      <w:pPr>
        <w:spacing w:after="0" w:line="181"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231F20"/>
        </w:rPr>
        <w:t xml:space="preserve">The process for differentiating T cells from iPSC is a multistage </w:t>
      </w:r>
      <w:r>
        <w:rPr>
          <w:rFonts w:ascii="Arial" w:cs="Arial" w:eastAsia="Arial" w:hAnsi="Arial"/>
          <w:sz w:val="17"/>
          <w:szCs w:val="17"/>
          <w:i w:val="1"/>
          <w:iCs w:val="1"/>
          <w:color w:val="231F20"/>
        </w:rPr>
        <w:t>in vitro</w:t>
      </w:r>
      <w:r>
        <w:rPr>
          <w:rFonts w:ascii="Arial" w:cs="Arial" w:eastAsia="Arial" w:hAnsi="Arial"/>
          <w:sz w:val="17"/>
          <w:szCs w:val="17"/>
          <w:color w:val="231F20"/>
        </w:rPr>
        <w:t xml:space="preserve"> system that includes several growth factors and key ligands that mimic the developmental signals found in the human thymus where T cells normally develop. We have refined protocols to differentiate T cells from both T-iPSC and TCR-engineered iPSCs.</w:t>
      </w:r>
    </w:p>
    <w:p>
      <w:pPr>
        <w:spacing w:after="0" w:line="152"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231F20"/>
        </w:rPr>
        <w:t>For γδ T cells, the current process yields T cells that uniformly express the γδ TCR and CD3. These iPSCs have been engineered to express a CD19 CAR for initial proof of concept studies. When the iPSC-derived γδ T cells are exposed to CD19-expressing lymphoma cells, the lymphoma cells are killed in an antigen-specific manner.</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231F20"/>
        </w:rPr>
        <w:t xml:space="preserve">Differentiation of </w:t>
      </w:r>
      <w:r>
        <w:rPr>
          <w:rFonts w:ascii="Arial" w:cs="Arial" w:eastAsia="Arial" w:hAnsi="Arial"/>
          <w:sz w:val="18"/>
          <w:szCs w:val="18"/>
          <w:color w:val="231F20"/>
        </w:rPr>
        <w:t>γδ</w:t>
      </w:r>
      <w:r>
        <w:rPr>
          <w:rFonts w:ascii="Arial" w:cs="Arial" w:eastAsia="Arial" w:hAnsi="Arial"/>
          <w:sz w:val="18"/>
          <w:szCs w:val="18"/>
          <w:b w:val="1"/>
          <w:bCs w:val="1"/>
          <w:color w:val="231F20"/>
        </w:rPr>
        <w:t xml:space="preserve">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103505</wp:posOffset>
            </wp:positionV>
            <wp:extent cx="5383530" cy="382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83530"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19"/>
        <w:spacing w:after="0" w:line="252" w:lineRule="auto"/>
        <w:rPr>
          <w:sz w:val="20"/>
          <w:szCs w:val="20"/>
          <w:color w:val="auto"/>
        </w:rPr>
      </w:pPr>
      <w:r>
        <w:rPr>
          <w:rFonts w:ascii="Arial" w:cs="Arial" w:eastAsia="Arial" w:hAnsi="Arial"/>
          <w:sz w:val="17"/>
          <w:szCs w:val="17"/>
          <w:color w:val="231F20"/>
        </w:rPr>
        <w:t xml:space="preserve">A T-iPSC line that was derived from a Vγ9/Vδ2 γδ T cell was engineered with CRISPR to introduce the CAR transgene. The T-iPSC were then subjected to two sequential differentiation processes. </w:t>
      </w:r>
      <w:r>
        <w:rPr>
          <w:rFonts w:ascii="Arial" w:cs="Arial" w:eastAsia="Arial" w:hAnsi="Arial"/>
          <w:sz w:val="17"/>
          <w:szCs w:val="17"/>
          <w:b w:val="1"/>
          <w:bCs w:val="1"/>
          <w:color w:val="231F20"/>
        </w:rPr>
        <w:t>A.</w:t>
      </w:r>
      <w:r>
        <w:rPr>
          <w:rFonts w:ascii="Arial" w:cs="Arial" w:eastAsia="Arial" w:hAnsi="Arial"/>
          <w:sz w:val="17"/>
          <w:szCs w:val="17"/>
          <w:color w:val="231F20"/>
        </w:rPr>
        <w:t xml:space="preserve"> First, the TiPSC were cultured under conditions that cause them to differentiate into CD34+ hematopoietic progenitor cells (HPCs) which have multilineage capability. </w:t>
      </w:r>
      <w:r>
        <w:rPr>
          <w:rFonts w:ascii="Arial" w:cs="Arial" w:eastAsia="Arial" w:hAnsi="Arial"/>
          <w:sz w:val="17"/>
          <w:szCs w:val="17"/>
          <w:b w:val="1"/>
          <w:bCs w:val="1"/>
          <w:color w:val="231F20"/>
        </w:rPr>
        <w:t>B.</w:t>
      </w:r>
      <w:r>
        <w:rPr>
          <w:rFonts w:ascii="Arial" w:cs="Arial" w:eastAsia="Arial" w:hAnsi="Arial"/>
          <w:sz w:val="17"/>
          <w:szCs w:val="17"/>
          <w:color w:val="231F20"/>
        </w:rPr>
        <w:t xml:space="preserve"> Next, T lineage commitment was enforced during process 2 where the cells were differentiated into uniform CD3+ CD45+ CD7+ T cells over the course of 28 days. </w:t>
      </w:r>
      <w:r>
        <w:rPr>
          <w:rFonts w:ascii="Arial" w:cs="Arial" w:eastAsia="Arial" w:hAnsi="Arial"/>
          <w:sz w:val="17"/>
          <w:szCs w:val="17"/>
          <w:b w:val="1"/>
          <w:bCs w:val="1"/>
          <w:color w:val="231F20"/>
        </w:rPr>
        <w:t>C.</w:t>
      </w:r>
      <w:r>
        <w:rPr>
          <w:rFonts w:ascii="Arial" w:cs="Arial" w:eastAsia="Arial" w:hAnsi="Arial"/>
          <w:sz w:val="17"/>
          <w:szCs w:val="17"/>
          <w:color w:val="231F20"/>
        </w:rPr>
        <w:t xml:space="preserve"> The day 28 T cells were assessed by flow cytometry and the data indicates that the cells express T lineage markers (CD3, CD7, and CD5) as well as the </w:t>
      </w:r>
      <w:r>
        <w:rPr>
          <w:rFonts w:ascii="Calibri" w:cs="Calibri" w:eastAsia="Calibri" w:hAnsi="Calibri"/>
          <w:sz w:val="17"/>
          <w:szCs w:val="17"/>
          <w:color w:val="231F20"/>
        </w:rPr>
        <w:t>γδ</w:t>
      </w:r>
      <w:r>
        <w:rPr>
          <w:rFonts w:ascii="Arial" w:cs="Arial" w:eastAsia="Arial" w:hAnsi="Arial"/>
          <w:sz w:val="17"/>
          <w:szCs w:val="17"/>
          <w:color w:val="231F20"/>
        </w:rPr>
        <w:t xml:space="preserve"> T cell receptor but not the </w:t>
      </w:r>
      <w:r>
        <w:rPr>
          <w:rFonts w:ascii="Calibri" w:cs="Calibri" w:eastAsia="Calibri" w:hAnsi="Calibri"/>
          <w:sz w:val="17"/>
          <w:szCs w:val="17"/>
          <w:color w:val="231F20"/>
        </w:rPr>
        <w:t>αβ</w:t>
      </w:r>
      <w:r>
        <w:rPr>
          <w:rFonts w:ascii="Arial" w:cs="Arial" w:eastAsia="Arial" w:hAnsi="Arial"/>
          <w:sz w:val="17"/>
          <w:szCs w:val="17"/>
          <w:color w:val="231F20"/>
        </w:rPr>
        <w:t xml:space="preserve"> T cell receptor. The T cells also retained</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high expression of the CAR molecule.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 xml:space="preserve">γδ </w:t>
      </w:r>
      <w:r>
        <w:rPr>
          <w:rFonts w:ascii="Arial" w:cs="Arial" w:eastAsia="Arial" w:hAnsi="Arial"/>
          <w:sz w:val="18"/>
          <w:szCs w:val="18"/>
          <w:b w:val="1"/>
          <w:bCs w:val="1"/>
          <w:color w:val="231F20"/>
        </w:rPr>
        <w:t>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137795</wp:posOffset>
            </wp:positionV>
            <wp:extent cx="2828925" cy="2211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2892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right="519"/>
        <w:spacing w:after="0" w:line="244" w:lineRule="auto"/>
        <w:rPr>
          <w:sz w:val="20"/>
          <w:szCs w:val="20"/>
          <w:color w:val="auto"/>
        </w:rPr>
      </w:pPr>
      <w:r>
        <w:rPr>
          <w:rFonts w:ascii="Arial" w:cs="Arial" w:eastAsia="Arial" w:hAnsi="Arial"/>
          <w:sz w:val="18"/>
          <w:szCs w:val="18"/>
          <w:color w:val="231F20"/>
        </w:rPr>
        <w:t>CAR-iT cells were used in a tumor cell killing assay on an IncuCyte instrument. For this study, Reh cells, a CD19- expressing lymphoma line was used. PBMC CAR-T are PBMC-derived T cells that have been engineered to express the same CAR molecule, which have been added as a control for this study. When CD19-positive Reh cells were exposed to CAR-T cells, both iPSC-derived and PBMC-derived CAR-T cells mediated tumor killing.</w:t>
      </w:r>
    </w:p>
    <w:p>
      <w:pPr>
        <w:spacing w:after="0" w:line="176"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231F20"/>
        </w:rPr>
        <w:t>For conventional αβ T cells, the current process yields iT cells that uniformly express the αβ TCR and CD3. These iPSCs were also engineered to express a CD19 CAR to evaluate their tumor cell killing activity. When the iPSC- derived αβ T cells were exposed to CD19-expressing lymphoma cells, the lymphoma cells were killed in an antigen- specific manner.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 xml:space="preserve">Differentiation of </w:t>
      </w:r>
      <w:r>
        <w:rPr>
          <w:rFonts w:ascii="Arial" w:cs="Arial" w:eastAsia="Arial" w:hAnsi="Arial"/>
          <w:sz w:val="18"/>
          <w:szCs w:val="18"/>
          <w:color w:val="231F20"/>
        </w:rPr>
        <w:t>αβ</w:t>
      </w:r>
      <w:r>
        <w:rPr>
          <w:rFonts w:ascii="Arial" w:cs="Arial" w:eastAsia="Arial" w:hAnsi="Arial"/>
          <w:sz w:val="18"/>
          <w:szCs w:val="18"/>
          <w:b w:val="1"/>
          <w:bCs w:val="1"/>
          <w:color w:val="231F20"/>
        </w:rPr>
        <w:t xml:space="preserve">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137795</wp:posOffset>
            </wp:positionV>
            <wp:extent cx="4371975" cy="1954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7197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60" w:right="259"/>
        <w:spacing w:after="0" w:line="255" w:lineRule="auto"/>
        <w:rPr>
          <w:sz w:val="20"/>
          <w:szCs w:val="20"/>
          <w:color w:val="auto"/>
        </w:rPr>
      </w:pPr>
      <w:r>
        <w:rPr>
          <w:rFonts w:ascii="Arial" w:cs="Arial" w:eastAsia="Arial" w:hAnsi="Arial"/>
          <w:sz w:val="17"/>
          <w:szCs w:val="17"/>
          <w:color w:val="231F20"/>
        </w:rPr>
        <w:t>A T-iPSC line that was derived from a αβ T cell was used to differentiate αβ T cells using a process that takes approximately five to six weeks. At the end of the process, cells were collected and stained for flow cytometry. The left panel demonstrates co-expression of CD3 and the αβ TCR on the cell surface of resulting iT cells.</w:t>
      </w:r>
    </w:p>
    <w:p>
      <w:pPr>
        <w:spacing w:after="0" w:line="2" w:lineRule="exact"/>
        <w:rPr>
          <w:sz w:val="20"/>
          <w:szCs w:val="20"/>
          <w:color w:val="auto"/>
        </w:rPr>
      </w:pPr>
    </w:p>
    <w:p>
      <w:pPr>
        <w:ind w:left="60" w:right="99"/>
        <w:spacing w:after="0" w:line="250" w:lineRule="auto"/>
        <w:rPr>
          <w:sz w:val="20"/>
          <w:szCs w:val="20"/>
          <w:color w:val="auto"/>
        </w:rPr>
      </w:pPr>
      <w:r>
        <w:rPr>
          <w:rFonts w:ascii="Arial" w:cs="Arial" w:eastAsia="Arial" w:hAnsi="Arial"/>
          <w:sz w:val="18"/>
          <w:szCs w:val="18"/>
          <w:color w:val="231F20"/>
        </w:rPr>
        <w:t>Because the T-iPSC line was also engineered with a CAR transgene, the CAR protein was also detected on the surface of these iT cells (right panel).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231F20"/>
        </w:rPr>
        <w:t xml:space="preserve">αβ </w:t>
      </w:r>
      <w:r>
        <w:rPr>
          <w:rFonts w:ascii="Calibri" w:cs="Calibri" w:eastAsia="Calibri" w:hAnsi="Calibri"/>
          <w:sz w:val="22"/>
          <w:szCs w:val="22"/>
          <w:color w:val="231F20"/>
        </w:rPr>
        <w:t>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163195</wp:posOffset>
            </wp:positionV>
            <wp:extent cx="3394710" cy="258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9471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231F20"/>
        </w:rPr>
        <w:t>CAR-iT cells were used in a tumor cell killing assay on an IncuCyte instrument. For this study, Reh cells, a CD19- expressing lymphoma line was used. PBMC CAR-T are PBMC-derived T cells that have been engineered to express the same CAR, which have been added as a control for this study. When CD19-positive Reh cells were exposed to CAR-T cells, both iPSC-derived and PBMC-derived CAR-iT cells mediated tumor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140970</wp:posOffset>
            </wp:positionV>
            <wp:extent cx="5229225" cy="20059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2922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119"/>
        <w:spacing w:after="0" w:line="228" w:lineRule="auto"/>
        <w:rPr>
          <w:sz w:val="20"/>
          <w:szCs w:val="20"/>
          <w:color w:val="auto"/>
        </w:rPr>
      </w:pPr>
      <w:r>
        <w:rPr>
          <w:rFonts w:ascii="Arial" w:cs="Arial" w:eastAsia="Arial" w:hAnsi="Arial"/>
          <w:sz w:val="18"/>
          <w:szCs w:val="18"/>
          <w:i w:val="1"/>
          <w:iCs w:val="1"/>
          <w:color w:val="231F20"/>
        </w:rPr>
        <w:t>Serial killing of CD19</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 xml:space="preserve"> tumor cells by CAR-</w:t>
      </w:r>
      <w:r>
        <w:rPr>
          <w:rFonts w:ascii="Arial" w:cs="Arial" w:eastAsia="Arial" w:hAnsi="Arial"/>
          <w:sz w:val="18"/>
          <w:szCs w:val="18"/>
          <w:color w:val="231F20"/>
        </w:rPr>
        <w:t>γδ</w:t>
      </w:r>
      <w:r>
        <w:rPr>
          <w:rFonts w:ascii="Arial" w:cs="Arial" w:eastAsia="Arial" w:hAnsi="Arial"/>
          <w:sz w:val="18"/>
          <w:szCs w:val="18"/>
          <w:i w:val="1"/>
          <w:iCs w:val="1"/>
          <w:color w:val="231F20"/>
        </w:rPr>
        <w:t>-iT cells is comparable to PBMC-derived CAR-T cells. The serial killing assay was performed using an Incucyte instrument where viable tumor cells expressed Nuclight Red and were enumerated every 3 hours based on Red Calibrated Units, or RCU, a measure of total red fluorescence. At the beginning of the culture, 1e5 CAR-</w:t>
      </w:r>
      <w:r>
        <w:rPr>
          <w:rFonts w:ascii="Arial" w:cs="Arial" w:eastAsia="Arial" w:hAnsi="Arial"/>
          <w:sz w:val="18"/>
          <w:szCs w:val="18"/>
          <w:color w:val="231F20"/>
        </w:rPr>
        <w:t>γδ</w:t>
      </w:r>
      <w:r>
        <w:rPr>
          <w:rFonts w:ascii="Arial" w:cs="Arial" w:eastAsia="Arial" w:hAnsi="Arial"/>
          <w:sz w:val="18"/>
          <w:szCs w:val="18"/>
          <w:i w:val="1"/>
          <w:iCs w:val="1"/>
          <w:color w:val="231F20"/>
        </w:rPr>
        <w:t xml:space="preserve">-iT or CAR-T were added to each well followed by addition of 2e4 NALM-6 target cells (Nuclight Red+). Cells were cultured in complete medium with 10 ng/ml rhIL-15. Every 24 hours, 2e4 fresh NALM-6 cells were added to the culture and data was recorded for 10 days. Increasing RCU indicates daily addition of new targets and/or outgrowth of tumor cells. Decreasing RCU indicates tumor cell killing by </w:t>
      </w:r>
      <w:r>
        <w:rPr>
          <w:rFonts w:ascii="Arial" w:cs="Arial" w:eastAsia="Arial" w:hAnsi="Arial"/>
          <w:sz w:val="18"/>
          <w:szCs w:val="18"/>
          <w:color w:val="231F20"/>
        </w:rPr>
        <w:t>γδ</w:t>
      </w:r>
      <w:r>
        <w:rPr>
          <w:rFonts w:ascii="Arial" w:cs="Arial" w:eastAsia="Arial" w:hAnsi="Arial"/>
          <w:sz w:val="18"/>
          <w:szCs w:val="18"/>
          <w:i w:val="1"/>
          <w:iCs w:val="1"/>
          <w:color w:val="231F20"/>
        </w:rPr>
        <w:t xml:space="preserve"> CAR-iT cells or PBMC CAR-T cells.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23" w:lineRule="auto"/>
        <w:rPr>
          <w:sz w:val="20"/>
          <w:szCs w:val="20"/>
          <w:color w:val="auto"/>
        </w:rPr>
      </w:pPr>
      <w:r>
        <w:rPr>
          <w:rFonts w:ascii="Arial" w:cs="Arial" w:eastAsia="Arial" w:hAnsi="Arial"/>
          <w:sz w:val="18"/>
          <w:szCs w:val="18"/>
          <w:color w:val="231F20"/>
        </w:rPr>
        <w:t>Collectively, we have made significant progress in deriving iPSC lines that carry Trusted TCRs as well as refining the differentiation process to generate TrueT</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cells that express a TCR and a CAR. The cells mediate robust killing of lymphoma cells when their CAR is engaged. We believe that we have put in place the fundamental building blocks to continuing the advancement of our iT cell platform to generate iPSC-derived αβ and/or γδ T cell therapies for different tumor indications.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iPSC-derived GD T cells effective at tumor control as monotherapy and in combination with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546090" cy="25971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4609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20" w:right="1019" w:hanging="319"/>
        <w:spacing w:after="0" w:line="271"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γδ-EGFR-CAR-T cells demonstrate significant CAR killing of ovarian spheroids B. γδCAR-T demonstrate additive efficacy in combination with trastuzumab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Our development candidates</w:t>
      </w:r>
    </w:p>
    <w:p>
      <w:pPr>
        <w:spacing w:after="0" w:line="214"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 xml:space="preserve">We are assembling a portfolio of allogeneic iNK and iT cell therapy product candidates across solid tumor and hematological malignancies. This pipeline is comprised of cell therapies that will address diseases where we believe current therapies are inadequate. All product candidates incorporate our proprietary Allo-EvasionTM technology to avoid host rejection and potentially increase the durability of clinical responses. Our lead product candidate, CNTY-101, targeting CD19 positive lymphomas is currently being evaluated in a Phase 1 clinical trial. Our second product candidate, CNTY-102, is designed to further improve B-cell malignancy treatment. Our third product candidate, CNTY-107, is a Nectin-4 targeted product candidate in solid tumors. Our fourth product candidate, CNTY-104, is being developed in collaboration with Bristol-Myers Squibb to treat AML We are also developing CNTY-106 </w:t>
      </w:r>
      <w:r>
        <w:rPr>
          <w:rFonts w:ascii="Arial" w:cs="Arial" w:eastAsia="Arial" w:hAnsi="Arial"/>
          <w:sz w:val="18"/>
          <w:szCs w:val="18"/>
          <w:color w:val="000000"/>
        </w:rPr>
        <w:t>in collaboration with Bristol-Myers Squibb for multiple myeloma.</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Our development programs consist of the product candidates illustrated in the pipeline chart below:</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951865</wp:posOffset>
            </wp:positionV>
            <wp:extent cx="5606415" cy="25114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641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right="139" w:hanging="330"/>
        <w:spacing w:after="0" w:line="249" w:lineRule="auto"/>
        <w:tabs>
          <w:tab w:leader="none" w:pos="380" w:val="left"/>
        </w:tabs>
        <w:numPr>
          <w:ilvl w:val="0"/>
          <w:numId w:val="9"/>
        </w:numPr>
        <w:rPr>
          <w:rFonts w:ascii="Arial" w:cs="Arial" w:eastAsia="Arial" w:hAnsi="Arial"/>
          <w:sz w:val="13"/>
          <w:szCs w:val="13"/>
          <w:color w:val="231F20"/>
        </w:rPr>
      </w:pPr>
      <w:r>
        <w:rPr>
          <w:rFonts w:ascii="Arial" w:cs="Arial" w:eastAsia="Arial" w:hAnsi="Arial"/>
          <w:sz w:val="13"/>
          <w:szCs w:val="13"/>
          <w:color w:val="231F20"/>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and any other product candidate comprised of iNK cells that we develop in the future. CNTY-101 is no longer included in the agreement. Bayer’s rights under the option agreement are subject to important limitations. See “—Licensing, partnership and collaboration— Bayer HealthCare LLC—Option Agreement” for more information.</w:t>
      </w:r>
    </w:p>
    <w:p>
      <w:pPr>
        <w:spacing w:after="0" w:line="182" w:lineRule="exact"/>
        <w:rPr>
          <w:rFonts w:ascii="Arial" w:cs="Arial" w:eastAsia="Arial" w:hAnsi="Arial"/>
          <w:sz w:val="13"/>
          <w:szCs w:val="13"/>
          <w:color w:val="231F20"/>
        </w:rPr>
      </w:pPr>
    </w:p>
    <w:p>
      <w:pPr>
        <w:ind w:left="60" w:right="199" w:hanging="10"/>
        <w:spacing w:after="0" w:line="281" w:lineRule="auto"/>
        <w:tabs>
          <w:tab w:leader="none" w:pos="450" w:val="left"/>
        </w:tabs>
        <w:numPr>
          <w:ilvl w:val="0"/>
          <w:numId w:val="9"/>
        </w:numPr>
        <w:rPr>
          <w:rFonts w:ascii="Arial" w:cs="Arial" w:eastAsia="Arial" w:hAnsi="Arial"/>
          <w:sz w:val="13"/>
          <w:szCs w:val="13"/>
          <w:color w:val="231F20"/>
        </w:rPr>
      </w:pPr>
      <w:r>
        <w:rPr>
          <w:rFonts w:ascii="Arial" w:cs="Arial" w:eastAsia="Arial" w:hAnsi="Arial"/>
          <w:sz w:val="13"/>
          <w:szCs w:val="13"/>
          <w:color w:val="231F20"/>
        </w:rPr>
        <w:t>We entered a collaboration with Bristol-Myers Squibb to develop and commercialize up to four iNK or iT candidates, including CNTY-104 and CNTY-106. See – Licensing, partnership and collaboration – Bristol-Myers Squibb for more information.</w:t>
      </w: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CNTY-101: Our CAR-iNK candidate targeting CD19 for relapsed, refractory B-cell lymphoma</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Disease background</w:t>
      </w:r>
    </w:p>
    <w:p>
      <w:pPr>
        <w:spacing w:after="0" w:line="210"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231F20"/>
        </w:rPr>
        <w:t>B-cell lymphoma is a cancer that affects B lymphocytes that make up part of the immune system. It generally originates in the lymph nodes. B-cell lymphoma includes both Hodgkin’s disease and approximately 80% to 85% of patients diagnosed with non-Hodgkin’s lymphoma, or NHL, a disease classification that includes more than 50 different hematological malignancies. In the United States, approximately 70,000 cases of NHL are diagnosed each year and the number of new diagnoses is increasing each year as the median age in the United States increases. 30-40% of these patients will relapse or have disease refractory to current treatments.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Current treatment and shortcomings</w:t>
      </w:r>
    </w:p>
    <w:p>
      <w:pPr>
        <w:spacing w:after="0" w:line="21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231F20"/>
        </w:rPr>
        <w:t>Treatment of non-Hodgkin’s lymphoma is dependent on disease designation. Indolent disease may be treated with localized radiation or simply monitored for disease progression, at which time the disease is often treated with rituximab, with or without chemotherapy. Aggressive disease is treated with chemotherapy if diagnosed in the earlier stages of disease progression or with combination of rituximab and chemotherapy if diagnosed in the more advanced stages. While aggressive NHL is curable, indolent disease currently is not.</w:t>
      </w:r>
    </w:p>
    <w:p>
      <w:pPr>
        <w:spacing w:after="0" w:line="176" w:lineRule="exact"/>
        <w:rPr>
          <w:sz w:val="20"/>
          <w:szCs w:val="20"/>
          <w:color w:val="auto"/>
        </w:rPr>
      </w:pPr>
    </w:p>
    <w:p>
      <w:pPr>
        <w:ind w:left="60" w:right="499"/>
        <w:spacing w:after="0" w:line="275" w:lineRule="auto"/>
        <w:rPr>
          <w:sz w:val="20"/>
          <w:szCs w:val="20"/>
          <w:color w:val="auto"/>
        </w:rPr>
      </w:pPr>
      <w:r>
        <w:rPr>
          <w:rFonts w:ascii="Arial" w:cs="Arial" w:eastAsia="Arial" w:hAnsi="Arial"/>
          <w:sz w:val="17"/>
          <w:szCs w:val="17"/>
          <w:color w:val="231F20"/>
        </w:rPr>
        <w:t>In aggressive large B-cell lymphomas, existing FDA-approved CD19 CAR-T cell therapies show overall response rates of 50-80%, complete response rates of 30-40%, and where longer term follow up data is available, a three year survival rate of 47%. They are also shown to be effective in aggressive and indolent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231F20"/>
        </w:rPr>
        <w:t>lymphoma subpopulations and are in active testing in second line lymphoma. While these treatments have transformed care, significant medical need still exists in the relapsing and progressing patients that remain, with additional limitations of the autologous therapies described herein. As such, there is active investigation of several allogeneic B-cell targeting CAR-T therapies and B-cell targeting CAR-NK cell therapies in lymphoma.</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therapeutic approach and development program</w:t>
      </w:r>
    </w:p>
    <w:p>
      <w:pPr>
        <w:spacing w:after="0" w:line="210"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231F20"/>
        </w:rPr>
        <w:t>Our lead product candidate, CNTY-101, is an allogeneic, iPSC-derived CAR-iNK cell product for the treatment of CD19 positive B-cell lymphomas. CNTY-101 has been engineered with the following features:</w:t>
      </w:r>
    </w:p>
    <w:p>
      <w:pPr>
        <w:spacing w:after="0" w:line="154" w:lineRule="exact"/>
        <w:rPr>
          <w:sz w:val="20"/>
          <w:szCs w:val="20"/>
          <w:color w:val="auto"/>
        </w:rPr>
      </w:pPr>
    </w:p>
    <w:p>
      <w:pPr>
        <w:ind w:left="720" w:right="139" w:hanging="319"/>
        <w:spacing w:after="0" w:line="270" w:lineRule="auto"/>
        <w:tabs>
          <w:tab w:leader="none" w:pos="72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expression of CD19 CAR to target malignant B cells, our CAR construct uses the FMC63 scFv and the signaling domains of CD28 and CD3ζ;</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knock-out of HLA-I and HLA-II to escape elimination by the patient’s CD8 and CD4 T cells;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knock-in of HLA-E to avoid killing by the patient’s NK cells;</w:t>
      </w:r>
    </w:p>
    <w:p>
      <w:pPr>
        <w:spacing w:after="0" w:line="224" w:lineRule="exact"/>
        <w:rPr>
          <w:rFonts w:ascii="Times New Roman" w:cs="Times New Roman" w:eastAsia="Times New Roman" w:hAnsi="Times New Roman"/>
          <w:sz w:val="18"/>
          <w:szCs w:val="18"/>
          <w:color w:val="231F20"/>
        </w:rPr>
      </w:pPr>
    </w:p>
    <w:p>
      <w:pPr>
        <w:ind w:left="720" w:right="279" w:hanging="319"/>
        <w:spacing w:after="0" w:line="270" w:lineRule="auto"/>
        <w:tabs>
          <w:tab w:leader="none" w:pos="72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expression of IL-15 to provide homeostatic cytokine support to improve persistence and functionality; and</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incorporation of an EGFR safety switch to allow for elimination of the product if necessary.</w:t>
      </w:r>
    </w:p>
    <w:p>
      <w:pPr>
        <w:spacing w:after="0" w:line="224" w:lineRule="exact"/>
        <w:rPr>
          <w:sz w:val="20"/>
          <w:szCs w:val="20"/>
          <w:color w:val="auto"/>
        </w:rPr>
      </w:pPr>
    </w:p>
    <w:p>
      <w:pPr>
        <w:jc w:val="both"/>
        <w:ind w:left="60" w:right="399"/>
        <w:spacing w:after="0" w:line="253" w:lineRule="auto"/>
        <w:rPr>
          <w:sz w:val="20"/>
          <w:szCs w:val="20"/>
          <w:color w:val="auto"/>
        </w:rPr>
      </w:pPr>
      <w:r>
        <w:rPr>
          <w:rFonts w:ascii="Arial" w:cs="Arial" w:eastAsia="Arial" w:hAnsi="Arial"/>
          <w:sz w:val="18"/>
          <w:szCs w:val="18"/>
          <w:color w:val="231F20"/>
        </w:rPr>
        <w:t>The safety switch consists of a shorter version of the extracellular domain of EGFR, which binds to clinically approved antibodies, such as Cetuximab, which can trigger product elimination through antibody-dependent cellular cytotoxicity, or ADCC, or antibody-dependent cellular phagocytosis, or ADCP.</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28" w:lineRule="auto"/>
        <w:rPr>
          <w:sz w:val="20"/>
          <w:szCs w:val="20"/>
          <w:color w:val="auto"/>
        </w:rPr>
      </w:pPr>
      <w:r>
        <w:rPr>
          <w:rFonts w:ascii="Arial" w:cs="Arial" w:eastAsia="Arial" w:hAnsi="Arial"/>
          <w:sz w:val="18"/>
          <w:szCs w:val="18"/>
          <w:color w:val="231F20"/>
        </w:rPr>
        <w:t>We believe the modifications described above may lead to treatments with greater potency, persistency and durability. As the CD19 target and the FMC63-CD28z CAR have has been validated by existing FDA-approved CAR-T therapies, we believe target-related risks have been significantly diminished, as the approved CAR-T cell products have been shown to improve remission rates and improve overall survival in patients with various B-cell malignancies. The inclusion of a validated CAR construct in our first product candidate eliminates a key variable, i.e. the performance of a novel CAR construct, better enabling our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engineered iNK platform to be validated in the initial studies. The validity of this therapeutic approach is further supported by a M.D. Anderson clinical trial of CAR -NK cells targeting CD19 used in the treatment of relapsed or refractory NHL and chronic lymphocytic leukemia, or CLL, patients. In that trial, eight of the 11 patients responded to treatment with seven patients achieving complete remission.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CNTY-101 and CD19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137795</wp:posOffset>
            </wp:positionV>
            <wp:extent cx="5006340" cy="21856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0634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right="139"/>
        <w:spacing w:after="0" w:line="269" w:lineRule="auto"/>
        <w:rPr>
          <w:sz w:val="20"/>
          <w:szCs w:val="20"/>
          <w:color w:val="auto"/>
        </w:rPr>
      </w:pPr>
      <w:r>
        <w:rPr>
          <w:rFonts w:ascii="Arial" w:cs="Arial" w:eastAsia="Arial" w:hAnsi="Arial"/>
          <w:sz w:val="18"/>
          <w:szCs w:val="18"/>
          <w:i w:val="1"/>
          <w:iCs w:val="1"/>
          <w:color w:val="231F20"/>
        </w:rPr>
        <w:t>Left panel: engineered features of CNTY-101. Right panel: structure of the CD19 CAR construct used in CNTY-101</w:t>
      </w:r>
    </w:p>
    <w:p>
      <w:pPr>
        <w:spacing w:after="0" w:line="155" w:lineRule="exact"/>
        <w:rPr>
          <w:sz w:val="20"/>
          <w:szCs w:val="20"/>
          <w:color w:val="auto"/>
        </w:rPr>
      </w:pPr>
    </w:p>
    <w:p>
      <w:pPr>
        <w:ind w:left="60" w:right="119"/>
        <w:spacing w:after="0"/>
        <w:rPr>
          <w:sz w:val="20"/>
          <w:szCs w:val="20"/>
          <w:color w:val="auto"/>
        </w:rPr>
      </w:pPr>
      <w:r>
        <w:rPr>
          <w:rFonts w:ascii="Arial" w:cs="Arial" w:eastAsia="Arial" w:hAnsi="Arial"/>
          <w:sz w:val="18"/>
          <w:szCs w:val="18"/>
          <w:color w:val="231F20"/>
        </w:rPr>
        <w:t xml:space="preserve">We completed engineering of iPSC lines from five different donors and single cell cloning of numerous iPSC lines. The single cell clones underwent genotype and phenotype identity, purity, safety, manufacturability, and </w:t>
      </w:r>
      <w:r>
        <w:rPr>
          <w:rFonts w:ascii="Arial" w:cs="Arial" w:eastAsia="Arial" w:hAnsi="Arial"/>
          <w:sz w:val="18"/>
          <w:szCs w:val="18"/>
          <w:i w:val="1"/>
          <w:iCs w:val="1"/>
          <w:color w:val="231F20"/>
        </w:rPr>
        <w:t>in</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vitro </w:t>
      </w:r>
      <w:r>
        <w:rPr>
          <w:rFonts w:ascii="Arial" w:cs="Arial" w:eastAsia="Arial" w:hAnsi="Arial"/>
          <w:sz w:val="18"/>
          <w:szCs w:val="18"/>
          <w:color w:val="231F20"/>
        </w:rPr>
        <w:t>and</w:t>
      </w:r>
      <w:r>
        <w:rPr>
          <w:rFonts w:ascii="Arial" w:cs="Arial" w:eastAsia="Arial" w:hAnsi="Arial"/>
          <w:sz w:val="18"/>
          <w:szCs w:val="18"/>
          <w:i w:val="1"/>
          <w:iCs w:val="1"/>
          <w:color w:val="231F20"/>
        </w:rPr>
        <w:t xml:space="preserve"> in vivo </w:t>
      </w:r>
      <w:r>
        <w:rPr>
          <w:rFonts w:ascii="Arial" w:cs="Arial" w:eastAsia="Arial" w:hAnsi="Arial"/>
          <w:sz w:val="18"/>
          <w:szCs w:val="18"/>
          <w:color w:val="231F20"/>
        </w:rPr>
        <w:t>functional testing. CD19 iNK single cell clones demonstrate significant cytotoxicity</w:t>
      </w:r>
      <w:r>
        <w:rPr>
          <w:rFonts w:ascii="Arial" w:cs="Arial" w:eastAsia="Arial" w:hAnsi="Arial"/>
          <w:sz w:val="18"/>
          <w:szCs w:val="18"/>
          <w:i w:val="1"/>
          <w:iCs w:val="1"/>
          <w:color w:val="231F20"/>
        </w:rPr>
        <w:t xml:space="preserve"> in vitro </w:t>
      </w:r>
      <w:r>
        <w:rPr>
          <w:rFonts w:ascii="Arial" w:cs="Arial" w:eastAsia="Arial" w:hAnsi="Arial"/>
          <w:sz w:val="18"/>
          <w:szCs w:val="18"/>
          <w:color w:val="231F20"/>
        </w:rPr>
        <w:t xml:space="preserve">comparable to CAR-T controls, and numerous cycles of serial killing after repeated challenge with lymphoma cells. CNTY-101 single cell clones also demonstrate IL-15 expression and persistence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as well as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tumor growth inhibition. We received safe to proceed notification from the FDA in August 2022 and have advanced CNTY-101 into a Phase 1 clinical trial named ELiPSE-1, in which we began dosing patients in February 2023.</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Preclinical studies and selection of the final product candidate for CNTY-101</w:t>
      </w:r>
    </w:p>
    <w:p>
      <w:pPr>
        <w:spacing w:after="0" w:line="210" w:lineRule="exact"/>
        <w:rPr>
          <w:sz w:val="20"/>
          <w:szCs w:val="20"/>
          <w:color w:val="auto"/>
        </w:rPr>
      </w:pPr>
    </w:p>
    <w:p>
      <w:pPr>
        <w:ind w:left="60" w:right="179"/>
        <w:spacing w:after="0" w:line="223" w:lineRule="auto"/>
        <w:rPr>
          <w:sz w:val="20"/>
          <w:szCs w:val="20"/>
          <w:color w:val="auto"/>
        </w:rPr>
      </w:pPr>
      <w:r>
        <w:rPr>
          <w:rFonts w:ascii="Arial" w:cs="Arial" w:eastAsia="Arial" w:hAnsi="Arial"/>
          <w:sz w:val="18"/>
          <w:szCs w:val="18"/>
          <w:color w:val="231F20"/>
        </w:rPr>
        <w:t>To identify the CNTY-101 clinical candidate, we engineered iPSC lines from five different donors. The initial characterization studies were done with bulk cells prior to single cell cloning (bulk-engineered cells), and we generated additional data with single-cell clones. To identify the candidate, we narrowed down to six clonal cell lines derived from two donors. The initial evaluation of the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features and safety switch was done on bulk-engineered iPSC lines.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Allo-Evasion</w:t>
      </w:r>
      <w:r>
        <w:rPr>
          <w:rFonts w:ascii="Arial" w:cs="Arial" w:eastAsia="Arial" w:hAnsi="Arial"/>
          <w:sz w:val="26"/>
          <w:szCs w:val="26"/>
          <w:i w:val="1"/>
          <w:iCs w:val="1"/>
          <w:color w:val="231F20"/>
          <w:vertAlign w:val="superscript"/>
        </w:rPr>
        <w:t>TM</w:t>
      </w:r>
      <w:r>
        <w:rPr>
          <w:rFonts w:ascii="Arial" w:cs="Arial" w:eastAsia="Arial" w:hAnsi="Arial"/>
          <w:sz w:val="18"/>
          <w:szCs w:val="18"/>
          <w:i w:val="1"/>
          <w:iCs w:val="1"/>
          <w:color w:val="231F20"/>
        </w:rPr>
        <w:t xml:space="preserve"> studies with bulk-engineered CAR-iNK cells</w:t>
      </w:r>
    </w:p>
    <w:p>
      <w:pPr>
        <w:spacing w:after="0" w:line="127" w:lineRule="exact"/>
        <w:rPr>
          <w:sz w:val="20"/>
          <w:szCs w:val="20"/>
          <w:color w:val="auto"/>
        </w:rPr>
      </w:pPr>
    </w:p>
    <w:p>
      <w:pPr>
        <w:ind w:left="60" w:right="119"/>
        <w:spacing w:after="0" w:line="226" w:lineRule="auto"/>
        <w:rPr>
          <w:sz w:val="20"/>
          <w:szCs w:val="20"/>
          <w:color w:val="auto"/>
        </w:rPr>
      </w:pPr>
      <w:r>
        <w:rPr>
          <w:rFonts w:ascii="Arial" w:cs="Arial" w:eastAsia="Arial" w:hAnsi="Arial"/>
          <w:sz w:val="18"/>
          <w:szCs w:val="18"/>
          <w:color w:val="231F20"/>
        </w:rPr>
        <w:t>To prevent recognition of our CAR-iNK cells by CD8 T cells from the patient, we eliminated the expression of the HLA-I by deleting β2m, a protein that is required for the expression of HLA-I molecules on the cell surface. Our current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data has been generated with bulk-engineered iNK cells prior to single cell clonal selection. However, even with bulk-engineered cells where a small percentage of cells (1.6%) in the population still retains HLA-I, it is clear that the deletion of β2m significantly diminishes the allo-reactivity of allogeneic CD8 T cells against our iNK cells. In the final clinical candidate clones for therapeutic product candidates, HLA-I will be uniformly absent from all iNK cells.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Elimination of HLA-I prevents allogeneic immune recognition of iNK cells by CD8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137795</wp:posOffset>
            </wp:positionV>
            <wp:extent cx="3171825" cy="24174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7182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i w:val="1"/>
          <w:iCs w:val="1"/>
          <w:color w:val="231F20"/>
        </w:rPr>
        <w:t xml:space="preserve">Elimination of HLA-I prevents allogeneic immune recognition of iNK cells by CD8 T cells. To determine if removal of HLA-I via </w:t>
      </w:r>
      <w:r>
        <w:rPr>
          <w:rFonts w:ascii="Arial" w:cs="Arial" w:eastAsia="Arial" w:hAnsi="Arial"/>
          <w:sz w:val="18"/>
          <w:szCs w:val="18"/>
          <w:color w:val="231F20"/>
        </w:rPr>
        <w:t>β</w:t>
      </w:r>
      <w:r>
        <w:rPr>
          <w:rFonts w:ascii="Arial" w:cs="Arial" w:eastAsia="Arial" w:hAnsi="Arial"/>
          <w:sz w:val="18"/>
          <w:szCs w:val="18"/>
          <w:i w:val="1"/>
          <w:iCs w:val="1"/>
          <w:color w:val="231F20"/>
        </w:rPr>
        <w:t>2m knock-out prevents recognition of iNK cells by allogeneic T cells, a mixed lymphocyte reaction, or MLR, was performed with CD8 T cells from six allogeneic donors. Allogeneic T cells show virtual no proliferation when incubated with iNK cells that do not express HLA-I (B2Mko iNK), in contrast with iNK cells expressing HLA-I (iNK).</w:t>
      </w:r>
    </w:p>
    <w:p>
      <w:pPr>
        <w:spacing w:after="0" w:line="152" w:lineRule="exact"/>
        <w:rPr>
          <w:sz w:val="20"/>
          <w:szCs w:val="20"/>
          <w:color w:val="auto"/>
        </w:rPr>
      </w:pPr>
    </w:p>
    <w:p>
      <w:pPr>
        <w:ind w:left="60" w:right="159"/>
        <w:spacing w:after="0" w:line="226" w:lineRule="auto"/>
        <w:rPr>
          <w:sz w:val="20"/>
          <w:szCs w:val="20"/>
          <w:color w:val="auto"/>
        </w:rPr>
      </w:pPr>
      <w:r>
        <w:rPr>
          <w:rFonts w:ascii="Arial" w:cs="Arial" w:eastAsia="Arial" w:hAnsi="Arial"/>
          <w:sz w:val="18"/>
          <w:szCs w:val="18"/>
          <w:color w:val="231F20"/>
        </w:rPr>
        <w:t>Deletion of HLA-I prevents the recognition of our iNK cells by allogeneic T cells, but on the other hand, it exposes the iNK cells to killing by the patient’s NK cells. NK cells can sense the lack of HLA-I as a danger signal (missing self- hypothesis) and eliminate HLA-I negative cells. As part of our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we engineered the expression of HLA-E, a monomorphic MHC Class I related molecule to prevent the killing of the HLA-I null iNK cells. HLA-E engages an inhibitory receptor, NKG2A on NK cells and prevents their cytolytic activity. Our data with engineered iNK cells indicates that HLA-E is effective in mitigating the killing of the null iNK cells.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60" w:right="79"/>
        <w:spacing w:after="0" w:line="281" w:lineRule="auto"/>
        <w:rPr>
          <w:sz w:val="20"/>
          <w:szCs w:val="20"/>
          <w:color w:val="auto"/>
        </w:rPr>
      </w:pPr>
      <w:r>
        <w:rPr>
          <w:rFonts w:ascii="Arial" w:cs="Arial" w:eastAsia="Arial" w:hAnsi="Arial"/>
          <w:sz w:val="18"/>
          <w:szCs w:val="18"/>
          <w:b w:val="1"/>
          <w:bCs w:val="1"/>
          <w:color w:val="231F20"/>
        </w:rPr>
        <w:t>Expression of HLA-E prevents killing of iNK cells that have been engineered to prevent HLA-I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90170</wp:posOffset>
            </wp:positionV>
            <wp:extent cx="3171825" cy="24942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7182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 xml:space="preserve">iNK cells were derived from three different iPSC lines. A non-engineered iPSC line that carries an intact </w:t>
      </w:r>
      <w:r>
        <w:rPr>
          <w:rFonts w:ascii="Calibri" w:cs="Calibri" w:eastAsia="Calibri" w:hAnsi="Calibri"/>
          <w:sz w:val="18"/>
          <w:szCs w:val="18"/>
          <w:color w:val="231F20"/>
        </w:rPr>
        <w:t>β</w:t>
      </w:r>
      <w:r>
        <w:rPr>
          <w:rFonts w:ascii="Arial" w:cs="Arial" w:eastAsia="Arial" w:hAnsi="Arial"/>
          <w:sz w:val="18"/>
          <w:szCs w:val="18"/>
          <w:color w:val="231F20"/>
        </w:rPr>
        <w:t>2M</w:t>
      </w:r>
    </w:p>
    <w:p>
      <w:pPr>
        <w:spacing w:after="0" w:line="14" w:lineRule="exact"/>
        <w:rPr>
          <w:sz w:val="20"/>
          <w:szCs w:val="20"/>
          <w:color w:val="auto"/>
        </w:rPr>
      </w:pPr>
    </w:p>
    <w:p>
      <w:pPr>
        <w:ind w:left="60" w:right="259"/>
        <w:spacing w:after="0" w:line="211" w:lineRule="auto"/>
        <w:rPr>
          <w:sz w:val="20"/>
          <w:szCs w:val="20"/>
          <w:color w:val="auto"/>
        </w:rPr>
      </w:pPr>
      <w:r>
        <w:rPr>
          <w:rFonts w:ascii="Arial" w:cs="Arial" w:eastAsia="Arial" w:hAnsi="Arial"/>
          <w:sz w:val="17"/>
          <w:szCs w:val="17"/>
          <w:color w:val="231F20"/>
        </w:rPr>
        <w:t>gene was used to prepare iNK cells that are HLA-I</w:t>
      </w:r>
      <w:r>
        <w:rPr>
          <w:rFonts w:ascii="Arial" w:cs="Arial" w:eastAsia="Arial" w:hAnsi="Arial"/>
          <w:sz w:val="25"/>
          <w:szCs w:val="25"/>
          <w:color w:val="231F20"/>
          <w:vertAlign w:val="superscript"/>
        </w:rPr>
        <w:t>+</w:t>
      </w:r>
      <w:r>
        <w:rPr>
          <w:rFonts w:ascii="Arial" w:cs="Arial" w:eastAsia="Arial" w:hAnsi="Arial"/>
          <w:sz w:val="17"/>
          <w:szCs w:val="17"/>
          <w:color w:val="231F20"/>
        </w:rPr>
        <w:t xml:space="preserve">. A version of the same iPSC line was then engineered to knockout (KO) the gene </w:t>
      </w:r>
      <w:r>
        <w:rPr>
          <w:rFonts w:ascii="Calibri" w:cs="Calibri" w:eastAsia="Calibri" w:hAnsi="Calibri"/>
          <w:sz w:val="17"/>
          <w:szCs w:val="17"/>
          <w:color w:val="231F20"/>
        </w:rPr>
        <w:t>β</w:t>
      </w:r>
      <w:r>
        <w:rPr>
          <w:rFonts w:ascii="Arial" w:cs="Arial" w:eastAsia="Arial" w:hAnsi="Arial"/>
          <w:sz w:val="17"/>
          <w:szCs w:val="17"/>
          <w:color w:val="231F20"/>
        </w:rPr>
        <w:t>2M in order to ablate HLA-I expression. Finally, a version of the same iPSC line was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 xml:space="preserve">engineered to both delete </w:t>
      </w:r>
      <w:r>
        <w:rPr>
          <w:rFonts w:ascii="Calibri" w:cs="Calibri" w:eastAsia="Calibri" w:hAnsi="Calibri"/>
          <w:sz w:val="18"/>
          <w:szCs w:val="18"/>
          <w:color w:val="231F20"/>
        </w:rPr>
        <w:t>β</w:t>
      </w:r>
      <w:r>
        <w:rPr>
          <w:rFonts w:ascii="Arial" w:cs="Arial" w:eastAsia="Arial" w:hAnsi="Arial"/>
          <w:sz w:val="18"/>
          <w:szCs w:val="18"/>
          <w:color w:val="231F20"/>
        </w:rPr>
        <w:t>2M and transgenically express the gene HLA-E. iNK cells that express HLA-I are</w:t>
      </w:r>
    </w:p>
    <w:p>
      <w:pPr>
        <w:spacing w:after="0" w:line="10"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231F20"/>
        </w:rPr>
        <w:t>mostly spared from lysis in an allogenic co-culture with PBMC (including NK cells) from two different donors. However, iNK cells lacking HLA-I (</w:t>
      </w:r>
      <w:r>
        <w:rPr>
          <w:rFonts w:ascii="Calibri" w:cs="Calibri" w:eastAsia="Calibri" w:hAnsi="Calibri"/>
          <w:sz w:val="17"/>
          <w:szCs w:val="17"/>
          <w:color w:val="231F20"/>
        </w:rPr>
        <w:t>β</w:t>
      </w:r>
      <w:r>
        <w:rPr>
          <w:rFonts w:ascii="Arial" w:cs="Arial" w:eastAsia="Arial" w:hAnsi="Arial"/>
          <w:sz w:val="17"/>
          <w:szCs w:val="17"/>
          <w:color w:val="231F20"/>
        </w:rPr>
        <w:t>2M KO) are lysed by NK cells. Finally, expression of HLA-E on iNK cells that</w:t>
      </w:r>
    </w:p>
    <w:p>
      <w:pPr>
        <w:ind w:left="60"/>
        <w:spacing w:after="0"/>
        <w:rPr>
          <w:sz w:val="20"/>
          <w:szCs w:val="20"/>
          <w:color w:val="auto"/>
        </w:rPr>
      </w:pPr>
      <w:r>
        <w:rPr>
          <w:rFonts w:ascii="Arial" w:cs="Arial" w:eastAsia="Arial" w:hAnsi="Arial"/>
          <w:sz w:val="18"/>
          <w:szCs w:val="18"/>
          <w:color w:val="231F20"/>
        </w:rPr>
        <w:t>lack other HLA-I molecules are spared from lysis by allogenic NK cells.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Evaluation of the EGFR safety switch with bulk engineered CAR-iNK cells</w:t>
      </w:r>
    </w:p>
    <w:p>
      <w:pPr>
        <w:spacing w:after="0" w:line="21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231F20"/>
        </w:rPr>
        <w:t>CNTY-101 is engineered with a safety switch that can be triggered to eliminate the cells if ever necessary. Our switch includes a shorter version of the EGFR extracellular domain, anchored to the plasma membrane. This form of EGFR binds to cetuximab, a clinically approved antibody we plan to use as a trigger for the safety switch.</w:t>
      </w:r>
    </w:p>
    <w:p>
      <w:pPr>
        <w:spacing w:after="0" w:line="174"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231F20"/>
        </w:rPr>
        <w:t xml:space="preserve">Cetuximab engages FcγR on innate immune cells, such as NK cells and macrophages, to eliminate EFGR-expressing cells through ADCC or ADCP. Our preliminary data from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studies indicates that the cetuximab effectively triggers the elimination of iNK cells engineered with our EGFR safety switch from different tissues including blood, liver, and lungs.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Elimination of iNK cells using EGFR safety switch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137795</wp:posOffset>
            </wp:positionV>
            <wp:extent cx="5057775" cy="2562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5777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0" w:right="99"/>
        <w:spacing w:after="0" w:line="252" w:lineRule="auto"/>
        <w:rPr>
          <w:sz w:val="20"/>
          <w:szCs w:val="20"/>
          <w:color w:val="auto"/>
        </w:rPr>
      </w:pPr>
      <w:r>
        <w:rPr>
          <w:rFonts w:ascii="Arial" w:cs="Arial" w:eastAsia="Arial" w:hAnsi="Arial"/>
          <w:sz w:val="18"/>
          <w:szCs w:val="18"/>
          <w:i w:val="1"/>
          <w:iCs w:val="1"/>
          <w:color w:val="231F20"/>
        </w:rPr>
        <w:t>NSG mice were intravenously infused with 1x107 CD19iNK and one day later treated with 40 mg/kg cetuximab or rituximab (as a control). On Day 8, mice were humanely euthanized and whole blood, liver, and lung samples were collected and analyzed for the presence of iNK cells.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Single-cell cloning of engineered iPSC from different donors to identify the final clinical candidate</w:t>
      </w:r>
    </w:p>
    <w:p>
      <w:pPr>
        <w:spacing w:after="0" w:line="210" w:lineRule="exact"/>
        <w:rPr>
          <w:sz w:val="20"/>
          <w:szCs w:val="20"/>
          <w:color w:val="auto"/>
        </w:rPr>
      </w:pPr>
    </w:p>
    <w:p>
      <w:pPr>
        <w:ind w:left="60" w:right="179"/>
        <w:spacing w:after="0"/>
        <w:rPr>
          <w:sz w:val="20"/>
          <w:szCs w:val="20"/>
          <w:color w:val="auto"/>
        </w:rPr>
      </w:pPr>
      <w:r>
        <w:rPr>
          <w:rFonts w:ascii="Arial" w:cs="Arial" w:eastAsia="Arial" w:hAnsi="Arial"/>
          <w:sz w:val="18"/>
          <w:szCs w:val="18"/>
          <w:color w:val="231F20"/>
        </w:rPr>
        <w:t xml:space="preserve">We completed the single cell cloning of engineered iPSC lines from five different donors. The single cell clones were characterized for the expression of NK cell markers and the inserted transgenes. Selected clones were then characterized genetically by karyotype analysis, copy number variations, transgene copy number and insertion fidelity, and, finally, whole genome sequencing. The phenotype and genotype positive clones were progressed to an iNK differentiation,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functional and manufacturability screens. We narrowed down the number of candidates to six clonal lines from two different donors. These lines were evaluated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for final clinical candidate selection, and have advanced CNTY-101 into a Phase 1 clinical trial, ELiPSE-1, and began dosing patients in February 2023.</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CNTY-101 lead discovery funnel to identify final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137795</wp:posOffset>
            </wp:positionV>
            <wp:extent cx="5177790" cy="19970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7779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Selected single-cell clones express engineered transgenes in virtually all cells after expansion</w:t>
      </w:r>
    </w:p>
    <w:p>
      <w:pPr>
        <w:spacing w:after="0" w:line="210"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231F20"/>
        </w:rPr>
        <w:t>We ran a series of phenotypic assays and transgene expression characterization to narrow down the list of top candidates to six iPSC lines. After expansion in culture, the cell populations derived from single cell clones are highly uniform. Virtually all cells from all clones are CD45+, CD56+, CD3- indicating that these cells are NK cells. In addition, the cells uniformly express the CAR, HLA-E, and EGFR (safety switch) transgenes indicating that our product candidate clones are highly uniform when assessed for phenotypic markers.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Transgene expression and purity of iNK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137795</wp:posOffset>
            </wp:positionV>
            <wp:extent cx="4920615" cy="4071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20615"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right="179"/>
        <w:spacing w:after="0" w:line="252" w:lineRule="auto"/>
        <w:rPr>
          <w:sz w:val="20"/>
          <w:szCs w:val="20"/>
          <w:color w:val="auto"/>
        </w:rPr>
      </w:pPr>
      <w:r>
        <w:rPr>
          <w:rFonts w:ascii="Arial" w:cs="Arial" w:eastAsia="Arial" w:hAnsi="Arial"/>
          <w:sz w:val="18"/>
          <w:szCs w:val="18"/>
          <w:i w:val="1"/>
          <w:iCs w:val="1"/>
          <w:color w:val="231F20"/>
        </w:rPr>
        <w:t>Transgene expression and purity of day 21 iNK clones as measured by flow cytometry. All clones were &gt;97% iNK cells defined as live/CD45+/CD56+/CD3- (top left panel). Transgene expression (CAR, EGFR, and HLA-E) was measured on total live population after expansion of the single cell clones.</w:t>
      </w:r>
    </w:p>
    <w:p>
      <w:pPr>
        <w:spacing w:after="0" w:line="170" w:lineRule="exact"/>
        <w:rPr>
          <w:sz w:val="20"/>
          <w:szCs w:val="20"/>
          <w:color w:val="auto"/>
        </w:rPr>
      </w:pPr>
    </w:p>
    <w:p>
      <w:pPr>
        <w:jc w:val="center"/>
        <w:ind w:left="1580"/>
        <w:spacing w:after="0" w:line="281" w:lineRule="auto"/>
        <w:rPr>
          <w:sz w:val="20"/>
          <w:szCs w:val="20"/>
          <w:color w:val="auto"/>
        </w:rPr>
      </w:pPr>
      <w:r>
        <w:rPr>
          <w:rFonts w:ascii="Arial" w:cs="Arial" w:eastAsia="Arial" w:hAnsi="Arial"/>
          <w:sz w:val="18"/>
          <w:szCs w:val="18"/>
          <w:b w:val="1"/>
          <w:bCs w:val="1"/>
          <w:color w:val="231F20"/>
        </w:rPr>
        <w:t xml:space="preserve">Functional analysis of iNK cells generated from individual iPSC clones reveals meaningful differences in the </w:t>
      </w:r>
      <w:r>
        <w:rPr>
          <w:rFonts w:ascii="Arial" w:cs="Arial" w:eastAsia="Arial" w:hAnsi="Arial"/>
          <w:sz w:val="18"/>
          <w:szCs w:val="18"/>
          <w:b w:val="1"/>
          <w:bCs w:val="1"/>
          <w:i w:val="1"/>
          <w:iCs w:val="1"/>
          <w:color w:val="231F20"/>
        </w:rPr>
        <w:t>in vitro</w:t>
      </w:r>
      <w:r>
        <w:rPr>
          <w:rFonts w:ascii="Arial" w:cs="Arial" w:eastAsia="Arial" w:hAnsi="Arial"/>
          <w:sz w:val="18"/>
          <w:szCs w:val="18"/>
          <w:b w:val="1"/>
          <w:bCs w:val="1"/>
          <w:color w:val="231F20"/>
        </w:rPr>
        <w:t xml:space="preserve"> persistence and killing capacity of clinical candidates.</w:t>
      </w:r>
    </w:p>
    <w:p>
      <w:pPr>
        <w:spacing w:after="0" w:line="13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231F20"/>
        </w:rPr>
        <w:t xml:space="preserve">In addition to assuring uniform transgene expression in the clones under consideration for clinical candidate selection, we compared two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functional attributes across clones that could influence their ability to inhibit tumor growth. The first is the cell-intrinsic capacity to persist in culture in the presence or absence of CD19 expressing tumor targets in the absence of exogenous cytokine support. As seen in the figure below,</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231F20"/>
        </w:rPr>
        <w:t>there was a meaningful difference between clones in the recovery of iNK cells after a seven day culture, with three clones demonstrating particularly favorable persistence.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100965</wp:posOffset>
            </wp:positionV>
            <wp:extent cx="5143500" cy="21431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 w:right="199"/>
        <w:spacing w:after="0" w:line="227" w:lineRule="auto"/>
        <w:rPr>
          <w:sz w:val="20"/>
          <w:szCs w:val="20"/>
          <w:color w:val="auto"/>
        </w:rPr>
      </w:pPr>
      <w:r>
        <w:rPr>
          <w:rFonts w:ascii="Arial" w:cs="Arial" w:eastAsia="Arial" w:hAnsi="Arial"/>
          <w:sz w:val="18"/>
          <w:szCs w:val="18"/>
          <w:i w:val="1"/>
          <w:iCs w:val="1"/>
          <w:color w:val="231F20"/>
        </w:rPr>
        <w:t>Average iNK cell number as measured by flow cytometry at the conclusion of the 7 day persistence assay. iNK cells were cultured alone or in co-culture with CD19</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 xml:space="preserve"> NALM6 or REH cells at an effector to target ratio of 1:1 in the absence of any exogenous cytokine support for 7 days and then analyzed by flow cytometry. The iNK cell population was defined as live, CD45</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 CD56</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cells.</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Single-cell clones mediate serial killing of lymphoma cells</w:t>
      </w:r>
    </w:p>
    <w:p>
      <w:pPr>
        <w:spacing w:after="0" w:line="210" w:lineRule="exact"/>
        <w:rPr>
          <w:sz w:val="20"/>
          <w:szCs w:val="20"/>
          <w:color w:val="auto"/>
        </w:rPr>
      </w:pPr>
    </w:p>
    <w:p>
      <w:pPr>
        <w:ind w:left="60" w:right="59"/>
        <w:spacing w:after="0" w:line="256" w:lineRule="auto"/>
        <w:rPr>
          <w:sz w:val="20"/>
          <w:szCs w:val="20"/>
          <w:color w:val="auto"/>
        </w:rPr>
      </w:pPr>
      <w:r>
        <w:rPr>
          <w:rFonts w:ascii="Arial" w:cs="Arial" w:eastAsia="Arial" w:hAnsi="Arial"/>
          <w:sz w:val="17"/>
          <w:szCs w:val="17"/>
          <w:color w:val="231F20"/>
        </w:rPr>
        <w:t xml:space="preserve">In addition to the persistence demonstrated above, for cell therapies to be effective in eliminating cancer cells, single CAR-T or CAR-NK cells need to be able to engage and kill multiple tumor cells in succession a process commonly described as serial killing. To evaluate the fitness of our CAR-iNK cells, we established a serial killing assay in which iNK cells are put through multiple rounds of killing with fresh tumor cell targets added every 24 hours. This is one of our most relevant </w:t>
      </w:r>
      <w:r>
        <w:rPr>
          <w:rFonts w:ascii="Arial" w:cs="Arial" w:eastAsia="Arial" w:hAnsi="Arial"/>
          <w:sz w:val="17"/>
          <w:szCs w:val="17"/>
          <w:i w:val="1"/>
          <w:iCs w:val="1"/>
          <w:color w:val="231F20"/>
        </w:rPr>
        <w:t>in vitro</w:t>
      </w:r>
      <w:r>
        <w:rPr>
          <w:rFonts w:ascii="Arial" w:cs="Arial" w:eastAsia="Arial" w:hAnsi="Arial"/>
          <w:sz w:val="17"/>
          <w:szCs w:val="17"/>
          <w:color w:val="231F20"/>
        </w:rPr>
        <w:t xml:space="preserve"> assays to characterize and distinguish CAR-iNK cell clones. Our most potent clones sustain serial killing activity for over ten rounds of killing. These clones progressed to </w:t>
      </w:r>
      <w:r>
        <w:rPr>
          <w:rFonts w:ascii="Arial" w:cs="Arial" w:eastAsia="Arial" w:hAnsi="Arial"/>
          <w:sz w:val="17"/>
          <w:szCs w:val="17"/>
          <w:i w:val="1"/>
          <w:iCs w:val="1"/>
          <w:color w:val="231F20"/>
        </w:rPr>
        <w:t>in vivo</w:t>
      </w:r>
      <w:r>
        <w:rPr>
          <w:rFonts w:ascii="Arial" w:cs="Arial" w:eastAsia="Arial" w:hAnsi="Arial"/>
          <w:sz w:val="17"/>
          <w:szCs w:val="17"/>
          <w:color w:val="231F20"/>
        </w:rPr>
        <w:t xml:space="preserve"> studies for characterization of their anti-tumor activity against human lymphoma xenografts. These </w:t>
      </w:r>
      <w:r>
        <w:rPr>
          <w:rFonts w:ascii="Arial" w:cs="Arial" w:eastAsia="Arial" w:hAnsi="Arial"/>
          <w:sz w:val="17"/>
          <w:szCs w:val="17"/>
          <w:i w:val="1"/>
          <w:iCs w:val="1"/>
          <w:color w:val="231F20"/>
        </w:rPr>
        <w:t>in vivo</w:t>
      </w:r>
      <w:r>
        <w:rPr>
          <w:rFonts w:ascii="Arial" w:cs="Arial" w:eastAsia="Arial" w:hAnsi="Arial"/>
          <w:sz w:val="17"/>
          <w:szCs w:val="17"/>
          <w:color w:val="231F20"/>
        </w:rPr>
        <w:t xml:space="preserve"> studies determined the selection of the iPSC clone to generate the CNTY-101 clinical candidate.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Serial killing assay with single-cell iNK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2434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i w:val="1"/>
          <w:iCs w:val="1"/>
          <w:color w:val="231F20"/>
        </w:rPr>
        <w:t>To demonstrate the ability of our clonal CAR-iNK cells to kill lymphoma cells over multiple rounds of tumor challenge, NuclightRed labeled Nalm-6 CD19+ lymphoma cells were cocultured with iNK clones at an E:T ratio of 5:1. The plates were imaged every three hours to record the frequency of tumor cells by recording red fluorescence (Red Calibrated Unit, or RCU). Every 24 hours, new tumor cell targets were added to the wells. Differences in repeated killing are apparent with some clones having tumor serial killing for over ten rounds whereas others show loss of tumor control after five rounds of tumor killing.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 xml:space="preserve">Assessment of CNTY-101 inhibition of tumor growth </w:t>
      </w:r>
      <w:r>
        <w:rPr>
          <w:rFonts w:ascii="Arial" w:cs="Arial" w:eastAsia="Arial" w:hAnsi="Arial"/>
          <w:sz w:val="18"/>
          <w:szCs w:val="18"/>
          <w:b w:val="1"/>
          <w:bCs w:val="1"/>
          <w:i w:val="1"/>
          <w:iCs w:val="1"/>
          <w:color w:val="231F20"/>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137795</wp:posOffset>
            </wp:positionV>
            <wp:extent cx="2914650" cy="26574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1465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The anti-tumor activity of CNTY-101 was evaluated in vivo using fresh cultured CNTY-101 iNK cells or frozen</w:t>
      </w:r>
    </w:p>
    <w:p>
      <w:pPr>
        <w:ind w:left="960"/>
        <w:spacing w:after="0"/>
        <w:rPr>
          <w:sz w:val="20"/>
          <w:szCs w:val="20"/>
          <w:color w:val="auto"/>
        </w:rPr>
      </w:pPr>
      <w:r>
        <w:rPr>
          <w:rFonts w:ascii="Arial" w:cs="Arial" w:eastAsia="Arial" w:hAnsi="Arial"/>
          <w:sz w:val="13"/>
          <w:szCs w:val="13"/>
          <w:i w:val="1"/>
          <w:iCs w:val="1"/>
          <w:color w:val="231F20"/>
        </w:rPr>
        <w:t>5</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cells. 1x10  luciferase-labeled NALM-6 lymphoma cells were administered IV on day zero. CNTY-101 iNK cells</w:t>
      </w:r>
    </w:p>
    <w:p>
      <w:pPr>
        <w:spacing w:after="0" w:line="35" w:lineRule="exact"/>
        <w:rPr>
          <w:sz w:val="20"/>
          <w:szCs w:val="20"/>
          <w:color w:val="auto"/>
        </w:rPr>
      </w:pPr>
    </w:p>
    <w:p>
      <w:pPr>
        <w:ind w:left="60" w:right="299"/>
        <w:spacing w:after="0" w:line="219" w:lineRule="auto"/>
        <w:rPr>
          <w:sz w:val="20"/>
          <w:szCs w:val="20"/>
          <w:color w:val="auto"/>
        </w:rPr>
      </w:pPr>
      <w:r>
        <w:rPr>
          <w:rFonts w:ascii="Arial" w:cs="Arial" w:eastAsia="Arial" w:hAnsi="Arial"/>
          <w:sz w:val="18"/>
          <w:szCs w:val="18"/>
          <w:i w:val="1"/>
          <w:iCs w:val="1"/>
          <w:color w:val="231F20"/>
        </w:rPr>
        <w:t>were given IV as fresh (10x10</w:t>
      </w:r>
      <w:r>
        <w:rPr>
          <w:rFonts w:ascii="Arial" w:cs="Arial" w:eastAsia="Arial" w:hAnsi="Arial"/>
          <w:sz w:val="26"/>
          <w:szCs w:val="26"/>
          <w:i w:val="1"/>
          <w:iCs w:val="1"/>
          <w:color w:val="231F20"/>
          <w:vertAlign w:val="superscript"/>
        </w:rPr>
        <w:t>6</w:t>
      </w:r>
      <w:r>
        <w:rPr>
          <w:rFonts w:ascii="Arial" w:cs="Arial" w:eastAsia="Arial" w:hAnsi="Arial"/>
          <w:sz w:val="18"/>
          <w:szCs w:val="18"/>
          <w:i w:val="1"/>
          <w:iCs w:val="1"/>
          <w:color w:val="231F20"/>
        </w:rPr>
        <w:t xml:space="preserve"> cells) or cryo-preserved cells (15x10</w:t>
      </w:r>
      <w:r>
        <w:rPr>
          <w:rFonts w:ascii="Arial" w:cs="Arial" w:eastAsia="Arial" w:hAnsi="Arial"/>
          <w:sz w:val="26"/>
          <w:szCs w:val="26"/>
          <w:i w:val="1"/>
          <w:iCs w:val="1"/>
          <w:color w:val="231F20"/>
          <w:vertAlign w:val="superscript"/>
        </w:rPr>
        <w:t>6</w:t>
      </w:r>
      <w:r>
        <w:rPr>
          <w:rFonts w:ascii="Arial" w:cs="Arial" w:eastAsia="Arial" w:hAnsi="Arial"/>
          <w:sz w:val="18"/>
          <w:szCs w:val="18"/>
          <w:i w:val="1"/>
          <w:iCs w:val="1"/>
          <w:color w:val="231F20"/>
        </w:rPr>
        <w:t xml:space="preserve"> cells) on Days 1, 8, and 15. Mice were imaged every 3-4 days using the IVIS SpectrumCT imager. CNTY-101 mediated significant anti-tumor growth inhibition when administered as fresh or cryo-preserved cells.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Single-cell clones eliminate CD19+ B cells</w:t>
      </w:r>
    </w:p>
    <w:p>
      <w:pPr>
        <w:spacing w:after="0" w:line="21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231F20"/>
        </w:rPr>
        <w:t>One of the key hallmarks of approved CD19 CAR-T cell therapy is the observation that patients who respond to treatment have B-cell aplasia (loss of B cells). Because normal B-cells express CD19, B-cell aplasia is expected during CD19 CAR-T cell treatment and has been used as a pharmacodynamic indicator of CAR-T cell activity.</w:t>
      </w:r>
    </w:p>
    <w:p>
      <w:pPr>
        <w:spacing w:after="0" w:line="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To determine whether our CD19 CAR-iNK cells eliminate normal B cells, we used B cells from four different allogeneic donors and incubated them with our top candidate iNK single cell clones. After 48 hours in culture, all iNK clones showed robust killing of B cells with complete elimination in most assays. This data indicates that B-cell aplasia should be expected during treatment of lymphoma patients. B-cell aplasia is expected to benefit our Allo-Evasion™ strategy by further reducing the chance of patients mounting a humoral anti-iNK cell antibody response.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Elimination of B Cells in Co-cultures of PBMCs with CAR-iNK Cells Derived from Single-Cell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128905</wp:posOffset>
            </wp:positionV>
            <wp:extent cx="4303395" cy="28460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0339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right="119"/>
        <w:spacing w:after="0"/>
        <w:rPr>
          <w:sz w:val="20"/>
          <w:szCs w:val="20"/>
          <w:color w:val="auto"/>
        </w:rPr>
      </w:pPr>
      <w:r>
        <w:rPr>
          <w:rFonts w:ascii="Arial" w:cs="Arial" w:eastAsia="Arial" w:hAnsi="Arial"/>
          <w:sz w:val="18"/>
          <w:szCs w:val="18"/>
          <w:b w:val="1"/>
          <w:bCs w:val="1"/>
          <w:i w:val="1"/>
          <w:iCs w:val="1"/>
          <w:color w:val="231F20"/>
        </w:rPr>
        <w:t>Elimination of normal B cells from whole PBMCs by our top candidate iNK single-cell clones</w:t>
      </w:r>
      <w:r>
        <w:rPr>
          <w:rFonts w:ascii="Arial" w:cs="Arial" w:eastAsia="Arial" w:hAnsi="Arial"/>
          <w:sz w:val="18"/>
          <w:szCs w:val="18"/>
          <w:color w:val="231F20"/>
        </w:rPr>
        <w:t>.</w:t>
      </w:r>
      <w:r>
        <w:rPr>
          <w:rFonts w:ascii="Arial" w:cs="Arial" w:eastAsia="Arial" w:hAnsi="Arial"/>
          <w:sz w:val="18"/>
          <w:szCs w:val="18"/>
          <w:b w:val="1"/>
          <w:bCs w:val="1"/>
          <w:i w:val="1"/>
          <w:iCs w:val="1"/>
          <w:color w:val="231F20"/>
        </w:rPr>
        <w:t xml:space="preserve"> </w:t>
      </w:r>
      <w:r>
        <w:rPr>
          <w:rFonts w:ascii="Arial" w:cs="Arial" w:eastAsia="Arial" w:hAnsi="Arial"/>
          <w:sz w:val="18"/>
          <w:szCs w:val="18"/>
          <w:i w:val="1"/>
          <w:iCs w:val="1"/>
          <w:color w:val="231F20"/>
        </w:rPr>
        <w:t>To</w:t>
      </w:r>
      <w:r>
        <w:rPr>
          <w:rFonts w:ascii="Arial" w:cs="Arial" w:eastAsia="Arial" w:hAnsi="Arial"/>
          <w:sz w:val="18"/>
          <w:szCs w:val="18"/>
          <w:b w:val="1"/>
          <w:bCs w:val="1"/>
          <w:i w:val="1"/>
          <w:iCs w:val="1"/>
          <w:color w:val="231F20"/>
        </w:rPr>
        <w:t xml:space="preserve"> </w:t>
      </w:r>
      <w:r>
        <w:rPr>
          <w:rFonts w:ascii="Arial" w:cs="Arial" w:eastAsia="Arial" w:hAnsi="Arial"/>
          <w:sz w:val="18"/>
          <w:szCs w:val="18"/>
          <w:i w:val="1"/>
          <w:iCs w:val="1"/>
          <w:color w:val="231F20"/>
        </w:rPr>
        <w:t>evaluate B-cell killing activity in-vitro, CAR-iNK cells derived from six single-cell clones were co-cultured for 48 hours with PBMCs from four healthy donors. The PBMCs were labeled with cell trace violet (CTV) and cocultured with CAR-iNK clones at an effector: Target ratio of 1:1. B-cells were defined as CTV+/CD45+/CD19+ and the reduction in B-cell numbers graphed as a percentage of the total B-cells present in the co-culture conditions compared to the “No Effector” condition for each donor (set at 100%). Samples were run on BD Symphony A3 cytometer and the data is represented as average of the four PBMC donors with error bars representing standard deviation.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CNTY-101 clinical development program</w:t>
      </w:r>
    </w:p>
    <w:p>
      <w:pPr>
        <w:spacing w:after="0" w:line="210" w:lineRule="exact"/>
        <w:rPr>
          <w:sz w:val="20"/>
          <w:szCs w:val="20"/>
          <w:color w:val="auto"/>
        </w:rPr>
      </w:pPr>
    </w:p>
    <w:p>
      <w:pPr>
        <w:ind w:left="60" w:right="139"/>
        <w:spacing w:after="0" w:line="279" w:lineRule="auto"/>
        <w:rPr>
          <w:sz w:val="20"/>
          <w:szCs w:val="20"/>
          <w:color w:val="auto"/>
        </w:rPr>
      </w:pPr>
      <w:r>
        <w:rPr>
          <w:rFonts w:ascii="Arial" w:cs="Arial" w:eastAsia="Arial" w:hAnsi="Arial"/>
          <w:sz w:val="18"/>
          <w:szCs w:val="18"/>
          <w:color w:val="231F20"/>
        </w:rPr>
        <w:t>We believe the successful development of CNTY-101 will enable us to establish clinical proof of concept for our CAR- iNK cell therapy and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the clinical development of the program</w:t>
      </w:r>
    </w:p>
    <w:p>
      <w:pPr>
        <w:spacing w:after="0" w:line="33"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We have initiated a first-in-human Phase 1 clinical trial of CNTY-101 in the United States, in relapsed and refractory CD19 positive large B-cell lymphoma, or RR NHL, patients including dose escalation and expansion portions, designed to evaluate the safety, tolerability, pharmacokinetics, persistence, efficacy, and recommended Phase 2 dose and schedule of CNTY-101. We are assessing both CD19-naïve and CD19-CAR-T treated patients who have relapsed following at least 2 prior lines of therapy. We will evaluate two dosing schedules, beginning with single dosing in Schedule A, as shown below. We will also characterize multiple doses per cycle with repeat cycles without subsequent lymphodepletion, subject to the Independent Data Review Committee and FDA review, and its potential impact on safety, persistence, and efficacy in Schedule B. The ongoing ELiPSE-1 trial is designed to evaluate preliminary safety and efficacy in patients. We intend to establish proof of concept as the study progresses through dose escalation, which will be analyzed when sufficient patient data is achieved. The CNTY-101 clinical trial will allow for benchmarking, where safety and efficacy outcomes can be compared to the available results for mono-specific CD19 autologous and allogeneic therapies that also utilize the FMC63 binder and CAR.</w:t>
      </w:r>
    </w:p>
    <w:p>
      <w:pPr>
        <w:spacing w:after="0" w:line="180" w:lineRule="exact"/>
        <w:rPr>
          <w:sz w:val="20"/>
          <w:szCs w:val="20"/>
          <w:color w:val="auto"/>
        </w:rPr>
      </w:pPr>
    </w:p>
    <w:p>
      <w:pPr>
        <w:jc w:val="both"/>
        <w:ind w:left="60" w:right="179"/>
        <w:spacing w:after="0"/>
        <w:rPr>
          <w:sz w:val="20"/>
          <w:szCs w:val="20"/>
          <w:color w:val="auto"/>
        </w:rPr>
      </w:pPr>
      <w:r>
        <w:rPr>
          <w:rFonts w:ascii="Arial" w:cs="Arial" w:eastAsia="Arial" w:hAnsi="Arial"/>
          <w:sz w:val="18"/>
          <w:szCs w:val="18"/>
          <w:color w:val="231F20"/>
        </w:rPr>
        <w:t>The primary objective of the Phase 1 clinical trial is to evaluate incidence and nature of dose-limiting toxicities within each dose level cohort and establish the recommended Phase 2 dose. The secondary objectives of the study include cell pharmacokinetics and persistence, incidence, nature, and severity of adverse events, overall response rate, complete and partial response rates, and duration of response, among other measures.</w:t>
      </w:r>
    </w:p>
    <w:p>
      <w:pPr>
        <w:ind w:left="60" w:right="339"/>
        <w:spacing w:after="0" w:line="250" w:lineRule="auto"/>
        <w:rPr>
          <w:sz w:val="20"/>
          <w:szCs w:val="20"/>
          <w:color w:val="auto"/>
        </w:rPr>
      </w:pPr>
      <w:r>
        <w:rPr>
          <w:rFonts w:ascii="Arial" w:cs="Arial" w:eastAsia="Arial" w:hAnsi="Arial"/>
          <w:sz w:val="18"/>
          <w:szCs w:val="18"/>
          <w:color w:val="231F20"/>
        </w:rPr>
        <w:t>Exploratory measures include evaluation of immunogenicity, correlation of antigen expression with response, and cytokine profile as a reporter of safety.</w:t>
      </w:r>
    </w:p>
    <w:p>
      <w:pPr>
        <w:spacing w:after="0" w:line="172"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231F20"/>
        </w:rPr>
        <w:t>We believe CNTY-101 may provide significant treatment advantages including (i) as a result of our ability to repeat dose, the potential to enhance objective response rates, or ORRs, and the duration of response, or DoR;</w:t>
      </w:r>
    </w:p>
    <w:p>
      <w:pPr>
        <w:spacing w:after="0" w:line="1" w:lineRule="exact"/>
        <w:rPr>
          <w:sz w:val="20"/>
          <w:szCs w:val="20"/>
          <w:color w:val="auto"/>
        </w:rPr>
      </w:pPr>
    </w:p>
    <w:p>
      <w:pPr>
        <w:ind w:left="60" w:right="139" w:hanging="10"/>
        <w:spacing w:after="0" w:line="237" w:lineRule="auto"/>
        <w:tabs>
          <w:tab w:leader="none" w:pos="31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the potential to treat patients immediately upon diagnosis since product is available off-the-shelf; and (iii) the potential to use milder lymphodepletion regimens by reducing or eliminating the immunogenicity and alloreactivity of the administered cells, potentially providing an improved safety profile. Off the shelf availability of CNTY-101 at any clinical site, and, a potentially improved safety profile enabling outpatient use, could improve patient access. For these reasons, we believe CNTY-101, if approved by the FDA or other applicable regulatory authorities, will address substantial unmet market needs for an off-the-shelf, safe and effective cell therapy offering an improved therapeutic profile.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ELiPSE-1: First in human study of CNTY-101 Trial Schema</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694690</wp:posOffset>
            </wp:positionV>
            <wp:extent cx="5546090" cy="28460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4609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231F20"/>
        </w:rPr>
        <w:t xml:space="preserve">A. Escalation guided by </w:t>
      </w:r>
      <w:r>
        <w:rPr>
          <w:rFonts w:ascii="Arial" w:cs="Arial" w:eastAsia="Arial" w:hAnsi="Arial"/>
          <w:sz w:val="18"/>
          <w:szCs w:val="18"/>
          <w:color w:val="000000"/>
        </w:rPr>
        <w:t>the</w:t>
      </w:r>
      <w:r>
        <w:rPr>
          <w:rFonts w:ascii="Arial" w:cs="Arial" w:eastAsia="Arial" w:hAnsi="Arial"/>
          <w:sz w:val="18"/>
          <w:szCs w:val="18"/>
          <w:color w:val="231F20"/>
        </w:rPr>
        <w:t xml:space="preserve"> Bayesian Optimal Interval, or BOIN. The safety review committee reviews data and implements dosing decisions. B. After the single dose maximum tolerated dose, or MTD, has been reached or the maximum single dose has been evaluated, or earlier upon the recommendation of the Independent Data Review Committee and Sponsor decision, Schedule B will also be explored (i.e., given weekly for three weeks), starting with a fractionated dose of approximately one-third of the MTD.</w:t>
      </w:r>
    </w:p>
    <w:p>
      <w:pPr>
        <w:spacing w:after="0" w:line="178" w:lineRule="exact"/>
        <w:rPr>
          <w:sz w:val="20"/>
          <w:szCs w:val="20"/>
          <w:color w:val="auto"/>
        </w:rPr>
      </w:pPr>
    </w:p>
    <w:p>
      <w:pPr>
        <w:ind w:left="60" w:right="139"/>
        <w:spacing w:after="0" w:line="269" w:lineRule="auto"/>
        <w:rPr>
          <w:sz w:val="20"/>
          <w:szCs w:val="20"/>
          <w:color w:val="auto"/>
        </w:rPr>
      </w:pPr>
      <w:r>
        <w:rPr>
          <w:rFonts w:ascii="Arial" w:cs="Arial" w:eastAsia="Arial" w:hAnsi="Arial"/>
          <w:sz w:val="18"/>
          <w:szCs w:val="18"/>
          <w:i w:val="1"/>
          <w:iCs w:val="1"/>
          <w:color w:val="231F20"/>
        </w:rPr>
        <w:t>CNTY-102: CAR-iT candidate targeting CD19 + CD22 for relapsed, refractory B-cell lymphoma and other B-cell malignancies</w:t>
      </w:r>
    </w:p>
    <w:p>
      <w:pPr>
        <w:spacing w:after="0" w:line="155" w:lineRule="exact"/>
        <w:rPr>
          <w:sz w:val="20"/>
          <w:szCs w:val="20"/>
          <w:color w:val="auto"/>
        </w:rPr>
      </w:pPr>
    </w:p>
    <w:p>
      <w:pPr>
        <w:ind w:left="60" w:right="99"/>
        <w:spacing w:after="0" w:line="227" w:lineRule="auto"/>
        <w:rPr>
          <w:sz w:val="20"/>
          <w:szCs w:val="20"/>
          <w:color w:val="auto"/>
        </w:rPr>
      </w:pPr>
      <w:r>
        <w:rPr>
          <w:rFonts w:ascii="Arial" w:cs="Arial" w:eastAsia="Arial" w:hAnsi="Arial"/>
          <w:sz w:val="18"/>
          <w:szCs w:val="18"/>
          <w:color w:val="231F20"/>
        </w:rPr>
        <w:t>Our next-generation product candidate directed to treat B-cell malignancies is CNTY-102, an iPSC-derived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enabled, CAR-iT cell therapy designed to simultaneously target two tumor antigens, CD19 and CD22. CNTY-102 will also be engineered with homeostatic cytokine support, a safety switch to be utilized for cell elimination if required clinically and possibly a PET reporter for imaging of the cells after administration to the patients. Our use of a multi-targeted CAR is intended to increase depth and durability of response by eliminating the effect of CD19 antigen loss that has been observed as a factor limiting durability of CAR-T cell therapies, as well as taking advantage of targeting CD22, an independently regulated, ubiquitous and validated B-cell target.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CNTY-102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137795</wp:posOffset>
            </wp:positionV>
            <wp:extent cx="4920615" cy="38576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2061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231F20"/>
        </w:rPr>
        <w:t>iT cells are expected to have high proliferative capacity, persistence, and trafficking, leading to sustained anti-tumor activity. We will develop this candidate on our γδi iT cell therapy platform.</w:t>
      </w:r>
    </w:p>
    <w:p>
      <w:pPr>
        <w:spacing w:after="0" w:line="154"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We anticipate preliminary clinical safety, translational (exploratory biomarker) and efficacy data will be emerging from the CNTY-101 Phase 1 trial at the time we plan to file the CNTY-102 IND, which will allow us to refine the CNTY-102 clinical design and allow for an in depth comparison. We intend to evaluate CNTY-102 in a Phase 1 clinical trial in relapsed, refractory aggressive B-cell NHL, chronic lymphocytic leukemia, or CLL, and/or B-cell acute lymphoblastic leukemia, or B-ALL. We will assess safety, tolerability, pharmacokinetics, persistence, and efficacy outcomes, with primary objectives of the Phase 1 to evaluate and compare depth and durability of response, as we believe dual tumor antigen targeting will significantly improve the efficacy profile. Additional Phase 1 objectives include determining the recommended Phase 2 clinical trial dose, schedule, and lymphodepletion conditions.</w:t>
      </w:r>
    </w:p>
    <w:p>
      <w:pPr>
        <w:spacing w:after="0" w:line="185" w:lineRule="exact"/>
        <w:rPr>
          <w:sz w:val="20"/>
          <w:szCs w:val="20"/>
          <w:color w:val="auto"/>
        </w:rPr>
      </w:pPr>
    </w:p>
    <w:p>
      <w:pPr>
        <w:ind w:left="60" w:right="639"/>
        <w:spacing w:after="0" w:line="269" w:lineRule="auto"/>
        <w:rPr>
          <w:sz w:val="20"/>
          <w:szCs w:val="20"/>
          <w:color w:val="auto"/>
        </w:rPr>
      </w:pPr>
      <w:r>
        <w:rPr>
          <w:rFonts w:ascii="Arial" w:cs="Arial" w:eastAsia="Arial" w:hAnsi="Arial"/>
          <w:sz w:val="18"/>
          <w:szCs w:val="18"/>
          <w:i w:val="1"/>
          <w:iCs w:val="1"/>
          <w:color w:val="231F20"/>
        </w:rPr>
        <w:t>CNTY-107: Our CAR-iT candidate targeting Nectin-4, for solid tumors expressing high levels of the target antigen</w:t>
      </w:r>
    </w:p>
    <w:p>
      <w:pPr>
        <w:spacing w:after="0" w:line="155"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231F20"/>
        </w:rPr>
        <w:t>CNTY-107 is an iPSC-derived Allo- EvasionTM technology enabled, CAR-iT cell therapy designed to address Nectin-4 positive solid tumors. CNTY-107 will also incorporate additional functionalities to enhance tumor cell killing and improve cell fitness. The Nectin cell adhesion protein 4 (Nectin-4) is overexpressed in multiple malignancies and has emerged as a possible biomarker and has been validated as target through antibody drug conjugate (ADC) approaches such as enfortumab vedotin. Nectin-4 is overexpressed in tumor types including urothelial, colorectal, breast, lung, ovarian, gastric, esophageal and pancreatic cancer.</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CNTY-107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right="499"/>
        <w:spacing w:after="0" w:line="269" w:lineRule="auto"/>
        <w:rPr>
          <w:sz w:val="20"/>
          <w:szCs w:val="20"/>
          <w:color w:val="auto"/>
        </w:rPr>
      </w:pPr>
      <w:r>
        <w:rPr>
          <w:rFonts w:ascii="Arial" w:cs="Arial" w:eastAsia="Arial" w:hAnsi="Arial"/>
          <w:sz w:val="18"/>
          <w:szCs w:val="18"/>
          <w:i w:val="1"/>
          <w:iCs w:val="1"/>
          <w:color w:val="231F20"/>
        </w:rPr>
        <w:t>CNTY-104: Our CAR-iNK or CAR-iT multi-specific collaboration program for the treatment of acute myeloid leukemia</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Disease background</w:t>
      </w:r>
    </w:p>
    <w:p>
      <w:pPr>
        <w:spacing w:after="0" w:line="21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AML is the most common form of acute leukemia, with 20,000 patients per year diagnosed in US. AML is an aggressive, heterogeneous hematopoietic malignancy characterized by genetic abnormalities in myeloid stem cells. 5-year overall survival, or OS, among patients with AML aged &lt;60 years is ~ 35%, with 5-year OS among patients &gt;60 years ~ 11%, reflecting a high unmet need to improve survival and quality of life for the majority of patients with AML. First line therapy includes a combination of cytarabine- and anthracycline-based regimens with allogeneic stem cell transplantation for eligible candidates, and recently approved, targeted therapies for specific mutations. Approximately 50% of patients relapse after achieving a complete remission in AML, leading to a poor prognosis. Allogeneic hematopoietic cell transplantation, or Allo-HCT, after achieving a second remission, likely offers the only possible current chance for cure. Despite numerous clinical studies, outcomes are consistently disappointing with 5-year overall survival rates of ~ 10%.</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therapeutic approach</w:t>
      </w:r>
    </w:p>
    <w:p>
      <w:pPr>
        <w:spacing w:after="0" w:line="210"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231F20"/>
        </w:rPr>
        <w:t>We are developing a multi-specific CAR-iNK or CAR-iT cell collaboration program to treat relapsed, refractory, and secondary AML in collaboration with Bristol-Myers Squibb. CNTY-104 is a CAR-iNK or CAR-iT collaboration program designed to target at least two tumor- associated antigens of relevance in AML. We are currently investigating multiple tumor targets to select the final candidates for the CNTY-104 collaboration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231F20"/>
        </w:rPr>
        <w:t>program. CNTY-104 will include a safety switch and possibly additional modifications including a PET reporter for imaging of the cells after administration to the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100965</wp:posOffset>
            </wp:positionV>
            <wp:extent cx="3120390" cy="27432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2039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 xml:space="preserve">Use of CAR-T cell therapies have been limited to date in myeloid malignancies due to the heterogeneity of AML cells, and, the absence of antigens that are not also expressed on normal hematopoietic stem progenitor cells. Cell therapy approaches targeting these specific antigens have often led to prolonged myeloablation, causing risk of infection and transfusion dependence in patients. As such, we are planning to create a multi-specific CAR-iNK or iT product that allows for controlled dosing and controlled persistence (e.g. enabling resting periods) to enable elimination of AML blasts while mitigating toxicities to the bone marrow. This approach may provide an improvement in treatment efficacy, tolerability, and safety. There may be an advantage to evaluate an iNK cell product, pending characterization of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pharmacokinetics and persistence, but we will evaluate both cell platforms to engineer CNTY-104.</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CNTY-106: Our CAR-iNK or CAR-iT multi-specific collaboration program for the treatment of multiple myeloma</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Disease background</w:t>
      </w:r>
    </w:p>
    <w:p>
      <w:pPr>
        <w:spacing w:after="0" w:line="210"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231F20"/>
        </w:rPr>
        <w:t>Multiple myeloma is the second most common hematological malignancy, accounting for approximately 10 percent of all blood cancers. The five-year survival rate has improved with the introduction of targeted therapies, combination regimens and more recently antibody drug conjugates and cell therapies but remains incurable. An estimated 35,000 new cases are diagnosed in the U.S. annually, with approximately 12,500 deaths. The 5-year survival rate for patients under 45 years of age at diagnosis is approximately 77 percent.</w:t>
      </w:r>
    </w:p>
    <w:p>
      <w:pPr>
        <w:spacing w:after="0" w:line="176" w:lineRule="exact"/>
        <w:rPr>
          <w:sz w:val="20"/>
          <w:szCs w:val="20"/>
          <w:color w:val="auto"/>
        </w:rPr>
      </w:pPr>
    </w:p>
    <w:p>
      <w:pPr>
        <w:ind w:left="60" w:right="459"/>
        <w:spacing w:after="0" w:line="253" w:lineRule="auto"/>
        <w:rPr>
          <w:sz w:val="20"/>
          <w:szCs w:val="20"/>
          <w:color w:val="auto"/>
        </w:rPr>
      </w:pPr>
      <w:r>
        <w:rPr>
          <w:rFonts w:ascii="Arial" w:cs="Arial" w:eastAsia="Arial" w:hAnsi="Arial"/>
          <w:sz w:val="18"/>
          <w:szCs w:val="18"/>
          <w:color w:val="231F20"/>
        </w:rPr>
        <w:t>We are developing a multi-specific CAR-iNK or CAR-iT cell product candidate to treat relapsed, refractory multiple myeloma collaboration with Bristol-Myers Squibb. CNTY-106 is a CAR-iNK or CAR-iT collaboration program to target at least two tumor- associated antigens of relevance in multiple myeloma.</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Discovery platform</w:t>
      </w:r>
    </w:p>
    <w:p>
      <w:pPr>
        <w:spacing w:after="0" w:line="210" w:lineRule="exact"/>
        <w:rPr>
          <w:sz w:val="20"/>
          <w:szCs w:val="20"/>
          <w:color w:val="auto"/>
        </w:rPr>
      </w:pPr>
    </w:p>
    <w:p>
      <w:pPr>
        <w:ind w:left="60" w:right="319"/>
        <w:spacing w:after="0" w:line="301" w:lineRule="auto"/>
        <w:rPr>
          <w:sz w:val="20"/>
          <w:szCs w:val="20"/>
          <w:color w:val="auto"/>
        </w:rPr>
      </w:pPr>
      <w:r>
        <w:rPr>
          <w:rFonts w:ascii="Arial" w:cs="Arial" w:eastAsia="Arial" w:hAnsi="Arial"/>
          <w:sz w:val="17"/>
          <w:szCs w:val="17"/>
          <w:color w:val="231F20"/>
        </w:rPr>
        <w:t>In addition to our named programs, we are actively engaged in a number of earlier stage discovery programs where we believe our IPSC-derived allogeneic cell therapy platform may provide differentiated therapeutic</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231F20"/>
        </w:rPr>
        <w:t>benefits. These discovery stage initiatives are focused on several solid tumor indications including bladder cancer and renal cell carcinoma. For these indications we plan to use multi-specific CARs and explore the use of both iNK and iT cells to identify the best cell platform to build the product candidate.</w:t>
      </w:r>
    </w:p>
    <w:p>
      <w:pPr>
        <w:spacing w:after="0" w:line="169" w:lineRule="exact"/>
        <w:rPr>
          <w:sz w:val="20"/>
          <w:szCs w:val="20"/>
          <w:color w:val="auto"/>
        </w:rPr>
      </w:pPr>
    </w:p>
    <w:p>
      <w:pPr>
        <w:ind w:left="60" w:right="159"/>
        <w:spacing w:after="0"/>
        <w:rPr>
          <w:sz w:val="20"/>
          <w:szCs w:val="20"/>
          <w:color w:val="auto"/>
        </w:rPr>
      </w:pPr>
      <w:r>
        <w:rPr>
          <w:rFonts w:ascii="Arial" w:cs="Arial" w:eastAsia="Arial" w:hAnsi="Arial"/>
          <w:sz w:val="18"/>
          <w:szCs w:val="18"/>
          <w:color w:val="231F20"/>
        </w:rPr>
        <w:t>We have initiated multiple VHH antibody campaigns to identify binders to build the CAR constructs for the prioritized tumor indications. These campaigns are at different stages of development and include targets for targets for renal cell carcinoma and other solid tumors and hematological malignancies. Our goal is to do side by side comparisons of the different CARs to select the final CAR constructs for the product candidates. We intend to evaluate the use of engineered macrophages and dendritic cells in the future as potential anti- cancer cell therapies. We believe the function of these immune cells may enable both standalone use as well as their inclusion in potent effector cell cocktails where the complementary engagement of the different immune cells reinforces and enhance overall therapeutic efficacy against different type of tumor malignancies.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Manufacturing</w:t>
      </w:r>
    </w:p>
    <w:p>
      <w:pPr>
        <w:spacing w:after="0" w:line="21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We believe that our iPSC-derived NK cells and T cells afford us a significant opportunity to advance multiplex gene- edited cell therapies that can be produced at substantially lower cost and accessible by a much larger patient population as compared to other donor-derived and autologous cell therapy approaches. To capitalize on these advantages, we believe it is imperative to develop an intimate understanding of the relevant cell types, the processes used to manufacture these cells, and the analytical methods required to accurately and reliably measure critical product attributes. We believe this understanding will enable us to produce safe and efficacious products, implement process and product changes with greater efficiency and accelerate the clinical development of commercializable products. In addition, we intend to develop a significant depth of expertise related to scale manufacturing, which we believe is essential to enable cell expansion, harvest and final container filling, along with cryopreservation, at a significantly reduced per dose cost. We have constructed our manufacturing strategy with the intent of achieving these objectives.</w:t>
      </w:r>
    </w:p>
    <w:p>
      <w:pPr>
        <w:spacing w:after="0" w:line="186"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231F20"/>
        </w:rPr>
        <w:t>We believe that our relationship with FCDI and its role in the manufacture of our initial product candidates has provided valuable know-how that accelerated development of our proprietary methods to generate functional iPSC- derived iNK cells. We believe that our optimized iPSC differentiation methods are scalable and compatible with efficient manufacturing processes. Our process development group is responsible for overall management of process optimization efforts and we have contracted with FCDI to provide us with process development services on an ongoing basis.</w:t>
      </w:r>
    </w:p>
    <w:p>
      <w:pPr>
        <w:spacing w:after="0" w:line="17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Current activities with FCDI are focused on enhancements to NK cell production. As the protocols for cryopreservation of NK cells are not as well established as the protocols for T cell freezing and storage, we believe that addressing the key determinants of cryopreservation is of particular relevance to the success of our more advanced therapeutic programs. The ability of NK cells to withstand cryopreservation depends not only on the freezing step itself, but on multiple factors in the entire manufacturing process both preceding and following freezing, including the thawing process and post-thaw handling prior to patient administration. As such, all factors involved in the supply chain, from initial cell engineering to patient administration, are being addressed to characterize the impact of cryopreservation on NK cells, especially its impact on yield, activity, stability and consistency. We have invested significant resources to optimize our manufacturing process and continue to iteratively invest in this area. We are also committing additional resources to ensure that adequate infrastructure and expertise is available at clinical sites regarding handling and treatment preparation.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231F20"/>
        </w:rPr>
        <w:t>Effective cryopreservation strategies must consider all elements of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146050</wp:posOffset>
            </wp:positionV>
            <wp:extent cx="4937760" cy="130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377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231F20"/>
        </w:rPr>
        <w:t>We are sourcing clinical supply of CNTY-101 from FCDI. FCDI currently maintains a cGMP compliant manufacturing facility in Madison, Wisconsin and our audit of the facility confirmed its Phase 1 readiness. We also intend to source clinical trial supply for our other iNK product candidates, and we will have the option to source NK cell therapies to be sold commercially, if approved, from FCDI.</w:t>
      </w:r>
    </w:p>
    <w:p>
      <w:pPr>
        <w:spacing w:after="0" w:line="17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31F20"/>
        </w:rPr>
        <w:t>At the same time, we have constructed of our own 53,000 square foot cell therapy manufacturing facility in Branchburg, New Jersey. which is now operational. While we intend to use this facility as the primary manufacturing site for CAR-iT cell therapies, we have designed the facility to be a flexible, multi-product facility, capable of producing any immune cell type, and thereby serving as an alternative manufacturing site for our CAR-iNK cell therapies as well.</w:t>
      </w:r>
    </w:p>
    <w:p>
      <w:pPr>
        <w:spacing w:after="0" w:line="176" w:lineRule="exact"/>
        <w:rPr>
          <w:sz w:val="20"/>
          <w:szCs w:val="20"/>
          <w:color w:val="auto"/>
        </w:rPr>
      </w:pPr>
    </w:p>
    <w:p>
      <w:pPr>
        <w:ind w:left="60" w:right="179"/>
        <w:spacing w:after="0"/>
        <w:rPr>
          <w:sz w:val="20"/>
          <w:szCs w:val="20"/>
          <w:color w:val="auto"/>
        </w:rPr>
      </w:pPr>
      <w:r>
        <w:rPr>
          <w:rFonts w:ascii="Arial" w:cs="Arial" w:eastAsia="Arial" w:hAnsi="Arial"/>
          <w:sz w:val="18"/>
          <w:szCs w:val="18"/>
          <w:color w:val="231F20"/>
        </w:rPr>
        <w:t>We believe the development of in-house manufacturing will enable us to analyze, learn and adapt more rapidly and increase control of development and manufacturing timelines for efficient clinical development of our product candidates. Through this enhanced control and investment in our process and analytical development capabilities, we believe we will gain a deeper understanding of our critical product attributes and better understand the factors that affect product quality. We also intend to develop expertise in scale-up technologies to enable optimal manufacturing scale for our product candidates, which will reduce cost of goods and improve patient access.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Licensing, partnerships and collaborations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Fujifilm Cellular Dynamics, Inc.</w:t>
      </w:r>
    </w:p>
    <w:p>
      <w:pPr>
        <w:spacing w:after="0" w:line="210"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231F20"/>
        </w:rPr>
        <w:t>We are party to an exclusive license with FCDI, dated September 18, 2018, or, as amended, the Differentiation License, pursuant to which we have licensed from FCDI certain patents and know-how related to differentiation of iPSC cells into immune-effector cells in the field of cancer immunotherapeutics. We are also party to a non-exclusive license with FCDI, also dated September 18, 2018, or, as amended, the Reprogramming License, pursuant to which we have licensed from FCDI certain patents and know-how related to the reprogramming of human somatic cells to iPSCs in the field of cancer immunotherapeutics. On October 21, 2019, we entered into a Master Collaboration Agreement with FCDI pursuant to which we agreed to fund research and development work at FCDI pursuant to a research plan, or, as amended, the FCDI Collaboration Agreement. On March 23, 2021, we entered into a Manufacturing and Supply Agreement with FCDI, or the Manufacturing Agreement, pursuant to which FCDI will provide certain agreed upon technology transfer, process development, analytical testing and cGMP manufacturing services to us. On January 7, 2022, we entered into a letter agreement with FCDI, which amends each of the agreements in relation to our collaboration with Bristol-Myers Squibb.</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Differentiation License Agreement</w:t>
      </w:r>
    </w:p>
    <w:p>
      <w:pPr>
        <w:spacing w:after="0" w:line="210" w:lineRule="exact"/>
        <w:rPr>
          <w:sz w:val="20"/>
          <w:szCs w:val="20"/>
          <w:color w:val="auto"/>
        </w:rPr>
      </w:pPr>
    </w:p>
    <w:p>
      <w:pPr>
        <w:ind w:left="60" w:right="439"/>
        <w:spacing w:after="0" w:line="301" w:lineRule="auto"/>
        <w:rPr>
          <w:sz w:val="20"/>
          <w:szCs w:val="20"/>
          <w:color w:val="auto"/>
        </w:rPr>
      </w:pPr>
      <w:r>
        <w:rPr>
          <w:rFonts w:ascii="Arial" w:cs="Arial" w:eastAsia="Arial" w:hAnsi="Arial"/>
          <w:sz w:val="17"/>
          <w:szCs w:val="17"/>
          <w:color w:val="231F20"/>
        </w:rPr>
        <w:t>Under the Differentiation License, FCDI granted us an exclusive, fully paid-up, sublicensable, worldwide, excluding Japan, license under certain patent rights and know-how related to human iPSC to exploit cancer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231F20"/>
        </w:rPr>
        <w:t>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 until the termination of the Differentiation License. We also granted to FCDI a non-exclusive, sublicensable, worldwide license under certain manufacturing know-how developed by us under the Differentiation License or FCDI Collaboration Agreement for manufacturing and process development activities outside of the field of cancer immunotherapy for cells other than NK cells, T cells, dendritic cells and macrophages derived from human iPSC until the termination of the Differentiation License.</w:t>
      </w:r>
    </w:p>
    <w:p>
      <w:pPr>
        <w:spacing w:after="0" w:line="180"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231F20"/>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 Licensed Products in Japan, and we and FCDI will amend the Differentiation License as necessary to permit such exploitation. We also issued shares of common stock to FCDI as consideration under the Differentiation License.</w:t>
      </w:r>
    </w:p>
    <w:p>
      <w:pPr>
        <w:spacing w:after="0" w:line="17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231F20"/>
        </w:rPr>
        <w:t>The Differentiation License expires upon the expiration of the last-to-expire patent licensed thereunder, which is currently expected to expire in 2036. Either party may terminate the Differentiation License upon the other party’s breach of any material obligation, subject to a 60-day notice and cure period, or in the event of the other party’s bankruptcy, if not dispensed or otherwise disposed within 60 days. We may terminate the Differentiation License in its entirety or on an indication-by-indication basis, a product-by-product basis or country-by-country basis, for convenience upon 90 days’ written notice. In addition, FCDI may terminate the Differentiation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Differentiation License upon written notice in the event of termination of Reprogramming License.</w:t>
      </w:r>
    </w:p>
    <w:p>
      <w:pPr>
        <w:spacing w:after="0" w:line="180"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231F20"/>
        </w:rPr>
        <w:t>The Differentiation License also contains customary representations and warranties, confidentiality, insurance and indemnification provisions.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Reprogramming License Agreement</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Under the Reprogramming License, FCDI granted us a non-exclusive, worldwide, excluding Japan, license under certain patent rights and know-how related to cell reprogramming of human cells to iPSCs to exploit FCDI Licensed Products within the field of cancer immunotherapeutic.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p>
    <w:p>
      <w:pPr>
        <w:spacing w:after="0" w:line="18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231F20"/>
        </w:rPr>
        <w:t>Under the Reprogramming License, we agreed to pay FCDI low single-digit percentage royalty payments on net sales of FCDI Licensed Products, as required by the WARF License, until the expiration of the last-to-expire patent licensed thereunder. We also agreed to pay certain milestone payments to FCDI as required by the WARF License upon the achievement of certain development and commercial milestones up to an aggregate of $6 million per FCDI Licensed Product.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231F20"/>
        </w:rPr>
        <w:t>The Reprogramming License expires upon the expiration of the last-to-expire patent licensed thereunder, which is currently expected to expire in 2034. Either party may terminate the Reprogramming License upon the other party’s breach of a material obligation, subject to a 60-day notice and cure period, or in the event of the other party’s bankruptcy, if not dispensed or otherwise disposed within 60 days. We may terminate the Reprogramming License for convenience upon 90 days’ notice in its entirety or on a product-by-product or country-by-country basis. FCDI may terminate the Reprogramming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Reprogramming License upon written notice in the event of termination of the Differentiation License.</w:t>
      </w:r>
    </w:p>
    <w:p>
      <w:pPr>
        <w:spacing w:after="0" w:line="180"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231F20"/>
        </w:rPr>
        <w:t>The Reprogramming License also contains customary representations and warranties, confidentiality, insurance and indemnification provisions.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FCDI Collaboration Agreement</w:t>
      </w:r>
    </w:p>
    <w:p>
      <w:pPr>
        <w:spacing w:after="0" w:line="21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Under the FCDI Collaboration Agreement, we established a collaborative relationship under which FCDI agreed to render certain services to us for the development and manufacture iPSC-derived cells in accordance with a research plan and approved budget funded by us. For the first three years of the term of the FCDI Collaboration Agreement, we agreed to pay FCDI a minimum of $2.5 million per year. Under the FCDI Collaboration Agreement, with certain exceptions, we have ownership rights to the deliverables made under the collaboration, including any intellectual property rights therein. Such exceptions include, among other things, deliverables that are cells obtained or created by changing the state of a cell to a state of pluripotency using methods or materials covered by the licensed patents, or Reprogrammed iPS Cells, or any compositions or materials derived from the use of Reprogrammed iPS Cells, produced by the use of Reprogrammed iPS Cells or which incorporate wholly or partially Reprogrammed iPS Cells, which, in each case, will be owned by FCDI, unless directly or indirectly derived from or made from the cell lines selected by us pursuant to the terms of the FCDI Collaboration Agreement.</w:t>
      </w:r>
    </w:p>
    <w:p>
      <w:pPr>
        <w:spacing w:after="0" w:line="183"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231F20"/>
        </w:rPr>
        <w:t>The FCDI Collaboration Agreement expires upon the termination of the Reprogramming License. Either party may terminate the FCDI Collaboration Agreement upon the other party’s material breach, subject to a 30-day notice and cure period. We may terminate the FCDI Collaboration Agreement for convenience by providing FCDI 60-days’ written notice.</w:t>
      </w:r>
    </w:p>
    <w:p>
      <w:pPr>
        <w:spacing w:after="0" w:line="174"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231F20"/>
        </w:rPr>
        <w:t>The FCDI Collaboration Agreement also contains customary representations and warranties, confidentiality and indemnification provisions.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Letter Agreement</w:t>
      </w:r>
    </w:p>
    <w:p>
      <w:pPr>
        <w:spacing w:after="0" w:line="212" w:lineRule="exact"/>
        <w:rPr>
          <w:sz w:val="20"/>
          <w:szCs w:val="20"/>
          <w:color w:val="auto"/>
        </w:rPr>
      </w:pPr>
    </w:p>
    <w:p>
      <w:pPr>
        <w:ind w:left="60" w:right="219"/>
        <w:spacing w:after="0" w:line="254" w:lineRule="auto"/>
        <w:rPr>
          <w:sz w:val="20"/>
          <w:szCs w:val="20"/>
          <w:color w:val="auto"/>
        </w:rPr>
      </w:pPr>
      <w:r>
        <w:rPr>
          <w:rFonts w:ascii="Arial" w:cs="Arial" w:eastAsia="Arial" w:hAnsi="Arial"/>
          <w:sz w:val="17"/>
          <w:szCs w:val="17"/>
          <w:color w:val="231F20"/>
        </w:rPr>
        <w:t>Under the letter agreement, which amends certain terms of each of the FCDI Agreements, including such amendments that (i) amend the definition of Territory under each of the FCDI Agreements, for purposes of the sublicenses under the FCDI Agreements pursuant to the Company’s Research Collaboration and License Agreement with Bristol-Myers Squibb dated January 7, 2022, or the Collaboration Agreement, includes Japan,</w:t>
      </w:r>
    </w:p>
    <w:p>
      <w:pPr>
        <w:ind w:left="60" w:right="159" w:hanging="10"/>
        <w:spacing w:after="0" w:line="239" w:lineRule="auto"/>
        <w:tabs>
          <w:tab w:leader="none" w:pos="31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amends the licenses granted to the Company and its affiliates under the FCDI Agreements such that the rights are sublicensable to Bristol-Myers Squibb, including with respect to Japan and (iii) the intellectual property developed under the Bristol-Myers Squibb collaboration is not subject to grant-back and option provisions under the Reprogramming License (iv) waives any right of FCDI to manufacture products developed under the Collaboration Agreement.</w:t>
      </w:r>
    </w:p>
    <w:p>
      <w:pPr>
        <w:spacing w:after="0" w:line="18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231F20"/>
        </w:rPr>
        <w:t>Pursuant to the Letter Agreement, and in consideration for amending the FCDI Agreements, we paid to FCDI (i) an upfront payment of $ 10 million, and will pay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Manufacturing Agreement</w:t>
      </w:r>
    </w:p>
    <w:p>
      <w:pPr>
        <w:spacing w:after="0" w:line="210"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231F20"/>
        </w:rPr>
        <w:t>Under the Manufacturing Agreement, FCDI will perform certain agreed upon technology transfer, process development, analytical testing, and cGMP manufacturing services for us with respect to clinical supply of our product candidates as agreed to in future work orders. The Manufacturing Agreement contains certain exclusivity provisions, which remain effective until the fifth anniversary of the Manufacturing Agreement, including that FCDI will be our exclusive clinical supplier for the first NK cell product candidate for which we submit an IND and that FCDI will have the option to be our exclusive clinical supplier for certain of our next three or four product candidates for which we may submit an IND, depending on whether they are NK cell product candidates or T cell product candidates. Subject to certain conditions, FCDI may also have the right to be the exclusive clinical supplier for the first product candidate for which we submit an IND after the fifth anniversary of the Manufacturing Agreement.</w:t>
      </w:r>
    </w:p>
    <w:p>
      <w:pPr>
        <w:spacing w:after="0" w:line="18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231F20"/>
        </w:rPr>
        <w:t>Either party may terminate the Manufacturing Agreement upon the other party’s material breach, subject to a 30-day notice and cure period, or in the event that the activities to be performed under the Manufacturing Agreement are unable to be performed for scientific or technical reasons and the parties are unable to resolve such issue within 60 days. We may terminate the Manufacturing Agreement for convenience after March 23, 2026 by providing FCDI 60-days’ written notice.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Bayer HealthCare LLC</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Option Agreement</w:t>
      </w:r>
    </w:p>
    <w:p>
      <w:pPr>
        <w:spacing w:after="0" w:line="21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In June 2019, we entered into an option agreement with Bayer, or the Option Agreement, which was subsequently amended and restated in February 2021,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For clarity, T cell programs are excluded from the Bayer Option Agreement Research Products. Under the Option Agreement, Bayer was granted a right of first refusal, or ROFR, to submit bids for the transfer or license of rights to research, develop and/or commercialize certain Research Products, which we refer to as the Research Product Rights.. While CNTY-101 is no longer included in the Bayer option rights, any other wholly owned product candidate comprised of iNK cells that we develop in the future is subject to the terms of the Option Agreement. Bayer’s ROFR is only exercisable with respect to up to four Research Products and the right terminates upon our tenth IND submission. Subject to certain exceptions, Bayer may only exercise these option rights in a non-sequential and alternating manner, and such rights are subject to additional limitations.</w:t>
      </w:r>
    </w:p>
    <w:p>
      <w:pPr>
        <w:spacing w:after="0" w:line="18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In the event that Bayer exercises its ROFR right, we will provide Bayer with our current, minimum offer terms with respect to the relevant Research Product Rights, or the Minimum Offer Terms, as determined by our Board (excluding any director appointed by Bayer), which will include (i) the minimum upfront cash proceeds to be received by us for the Research Product Rights and (ii) any other applicable licensing and financial terms. If Bayer’s bid does not meet the Minimum Offer Terms, Bayer’s ROFR rights with respect to that Research Product terminate except that Bayer will retain topping rights for future third party bids for that Research Product. If Bayer’s bid meets the Minimum Offer Terms, we can accept the bid or seek a third party valuation to determine the fair market value of the Research Product Rights and Bayer will have the opportunity to match the third party valuation. If Bayer does not match the third party valuation, Bayer’s rights with respect to that Research Product terminate except that Bayer will retain topping rights for future third party bids for that Research Product that are less than the third party valuation. The Option Agreement also contains provisions regarding our receipt of an unsolicited bid for certain Research Product Rights prior to an IND submission for a Research Product under which Bayer will have the option to submit a competing bid or relinquish its rights with respect to the transfer of the applicable Research Product in connection with the unsolicited bid.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231F20"/>
        </w:rPr>
        <w:t>The Option Agreement terminates upon the earlier of (i) Bayer and its affiliates ceasing to hold any of our capital stock or (ii) a change of control of us, as defined therein. The Option Agreement also contains customary representations and warranties and confidentiality provisions.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Bristol-Myers Squibb</w:t>
      </w:r>
    </w:p>
    <w:p>
      <w:pPr>
        <w:spacing w:after="0" w:line="212"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231F20"/>
        </w:rPr>
        <w:t>On January 7, 2022, we entered into the Collaboration Agreement with Bristol-Myers Squibb to collaborate on the research, development and commercialization of iNK and iT cell programs for hematologic malignancies and solid tumors, each a Collaboration Program, and each product candidate developed within such Collaboration Program, a Development Candidate.</w:t>
      </w:r>
    </w:p>
    <w:p>
      <w:pPr>
        <w:spacing w:after="0" w:line="174"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Pursuant to the Collaboration Agreement, we and Bristol-Myers Squibb will initially collaborate on two Collaboration Programs and Bristol-Myers Squibb has the option to add up to two additional Collaboration Programs, for an additional fee. The initial two Collaboration Programs are focused on AML and multiple myeloma, respectively. The two additional Collaboration Programs that Bristol-Myers Squibb may elect to add to the collaboration will focus on targets chosen from a set of reserved targets or other targets selected by Bristol-Myers Squibb, which can be nominated subject to certain conditions agreed with us and outlined in the Collaboration Agreement.</w:t>
      </w:r>
    </w:p>
    <w:p>
      <w:pPr>
        <w:spacing w:after="0" w:line="18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Under the Collaboration Agreement, we are responsible for generating Development Candidates for each Collaboration Program with a goal of producing Development Candidates that meet pre-specified criteria. Bristol-Myers Squibb has the option, exercisable for a specified period of time after the Development Candidate for each Collaboration Program is deemed to meet the applicable criteria, to elect to exclusively license the Development Candidates created in each Collaboration Program for pre-clinical development, clinical development and commercialization on a worldwide basis each a License Option. Following Bristol-Myers Squibb’s exercise of the License Option with respect to a Collaboration Program, we will be responsible for performing IND-enabling studies, supporting Bristol-Myers Squibb’s preparation and submission of an IND and manufacturing of clinical supplies until completion of a proof of concept clinical trial for the relevant Development Candidates, in each case at pre-agreed rates. Bristol-Myers Squibb will be responsible for all regulatory, clinical, manufacturing (after the proof of concept clinical trial) and commercialization activities for such Development Candidates worldwide.</w:t>
      </w:r>
    </w:p>
    <w:p>
      <w:pPr>
        <w:spacing w:after="0" w:line="183"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231F20"/>
        </w:rPr>
        <w:t>We have the option to co-promote with Bristol-Myers Squibb Development Candidates generated from the initial AML Collaboration Program and, if Bristol-Myers Squibb elects to expand to a fourth Collaboration Program, Development Candidates generated from the fourth Collaboration Program.</w:t>
      </w:r>
    </w:p>
    <w:p>
      <w:pPr>
        <w:spacing w:after="0" w:line="169" w:lineRule="exact"/>
        <w:rPr>
          <w:sz w:val="20"/>
          <w:szCs w:val="20"/>
          <w:color w:val="auto"/>
        </w:rPr>
      </w:pPr>
    </w:p>
    <w:p>
      <w:pPr>
        <w:ind w:left="60" w:right="219"/>
        <w:spacing w:after="0"/>
        <w:rPr>
          <w:sz w:val="20"/>
          <w:szCs w:val="20"/>
          <w:color w:val="auto"/>
        </w:rPr>
      </w:pPr>
      <w:r>
        <w:rPr>
          <w:rFonts w:ascii="Arial" w:cs="Arial" w:eastAsia="Arial" w:hAnsi="Arial"/>
          <w:sz w:val="18"/>
          <w:szCs w:val="18"/>
          <w:color w:val="231F20"/>
        </w:rPr>
        <w:t>Under the terms of the Collaboration Agreement, Bristol-Myers Squibb made a non-refundable, upfront cash payment of $100 million and will pay an exercise fee upon the exercise of the License Option with respect to a Collaboration Program, each such Collaboration Program, a Licensed Program and product candidates developed under a Licensed Program, Licensed Products. With respect to each Licensed Program, Bristol-Myers Squibb will pay up to $235 million in milestone payments upon the first achievement of certain development and regulatory milestones within such Licensed Program. In addition, Bristol-Myers Squibb will pay up to $500 million per Licensed Product in net sales-based milestone payments.</w:t>
      </w:r>
    </w:p>
    <w:p>
      <w:pPr>
        <w:spacing w:after="0" w:line="185"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231F20"/>
        </w:rPr>
        <w:t>Bristol-Myers Squibb will also pay us tiered royalties per Licensed Product as a percentage of net sales in the high-single digits to low-teens, subject to reduction for biosimilar competition, compulsory licensing and certain third party licenses costs. If we exercise our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twelve (12) year anniversary of the first commercial sale of such Licensed Product in such country, (ii) the expiration of any regulatory exclusivity period that covers such Licensed Product in such country, and (iii) the expiration of the last-to-expire licensed patent of the Company or a jointly owned patent that covers such the Licensed Product in such country. After expiration of the applicable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99"/>
        <w:spacing w:after="0" w:line="301" w:lineRule="auto"/>
        <w:rPr>
          <w:sz w:val="20"/>
          <w:szCs w:val="20"/>
          <w:color w:val="auto"/>
        </w:rPr>
      </w:pPr>
      <w:r>
        <w:rPr>
          <w:rFonts w:ascii="Arial" w:cs="Arial" w:eastAsia="Arial" w:hAnsi="Arial"/>
          <w:sz w:val="17"/>
          <w:szCs w:val="17"/>
          <w:color w:val="231F20"/>
        </w:rPr>
        <w:t>royalty term for a Licensed Product in a country, all licenses granted by the Company to Bristol-Myers Squibb for such Licensed Product in such country will be fully paid-up, royalty-free, perpetual and irrevocable.</w:t>
      </w:r>
    </w:p>
    <w:p>
      <w:pPr>
        <w:spacing w:after="0" w:line="131"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231F20"/>
        </w:rPr>
        <w:t>In connection with the Collaboration Agreement Bristol-Myers Squibb purchased 2,160,760 shares of the our common stock at a price per share of $23.14, for an aggregate purchase price of $50 million.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iCELL Inc.</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On March 20, 2020, we entered into an exclusive sublicense, or the iCELL Sublicense, with iCELL Inc., or iCELL, for certain patents related to an immune function reconstruction method using multipotent stem cells and the method for producing antigen specific T-cells, in each case, to research, develop and commercialize products in the United States, France, Germany, Italy, Liechtenstein, the Netherlands, Switzerland and the UK and any other countries where valid claims exist. Additionally, we received a non-exclusive license to such rights in Japan. The rights sublicensed to us under the iCELL Sublicense were licensed to iCELL by the University of Tokyo, or UTokyo, pursuant to an exclusive license agreement, or the UTokyo License. iCELL reserved for itself and for UTokyo an irrevocable, nonexclusive, royalty-free license to make and use certain non-public information for their own internal educational and research activities.</w:t>
      </w:r>
    </w:p>
    <w:p>
      <w:pPr>
        <w:spacing w:after="0" w:line="183"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231F20"/>
        </w:rPr>
        <w:t>The initial term of the sublicense expires on the later of (i) March 31, 2027, or (ii) the expiration of the last-to-expire valid claim covering a licensed product, which is currently expected to expire in 2033. iCELL may terminate the agreement with 30 days’ notice if we have failed to make a payment within 60 days of such payment becoming due and we do not cure such breach within 30 days of written notice. We may terminate the agreement upon 90 days’ written notice if any third party brings a claim against us related to the licensed patents or technology and such claim is not settled within 90 days.</w:t>
      </w:r>
    </w:p>
    <w:p>
      <w:pPr>
        <w:spacing w:after="0" w:line="17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Pursuant to the iCELL Sublicense, we paid an upfront license issue fee in the low six-figures and we agreed to make low single-digit percentage royalty payments until the last-to-expire valid claim under the licensed patents to iCELL on certain net sales amounts of the products developed under the iCELL Sublicense, as well as commercial milestone payments on a country-by-country basis based on certain net sales amounts related to products developed under the iCELL Sublicense in the aggregate of $ 70 million. We also agreed to make certain milestone payments to iCELL upon the achievement of certain developmental and regulatory milestones in the aggregate of $4.25 million. Upon the termination of the UTokyo License, iCELL will use good faith efforts to assist us in exercising any rights available to us under the UTokyo License to become a direct licensee of UTokyo. The iCELL Sublicense also contains customary representation and warranties, confidentiality, insurance, audit, indemnification and miscellaneous provisions.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University of Toronto and McMaster University</w:t>
      </w:r>
    </w:p>
    <w:p>
      <w:pPr>
        <w:spacing w:after="0" w:line="21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31F20"/>
        </w:rPr>
        <w:t>On June 9, 2020, we entered into an asset purchase agreement by and among Empirica, our wholly-owned subsidiary Century Therapeutics Canada ULC, or Century Canada and us pursuant to which we purchased certain assets of Empirica, including a license agreement, or the Empirica License, dated January 22, 2019, by and among the Governing Council of the University of Toronto, or the Council, the McMaster University, or, together with the Council, the Toronto Universities, and Empirica. Under the Empirica License, we received an exclusive, non- transferable, sublicensable, worldwide license under certain patents and antibody sequences and related intellectual property rights and know-how to, among other things, reproduce, manufacture and commercialize certain CD-133 related antibody and antibody sequence-derived technology, including but not limited to BiTE and bi-Specific or engineered T-Cells, including but not limited to CAR-Ts. The Toronto Universities reserve a royalty- free, non-exclusive, perpetual, irrevocable license to use such technology for non-commercial research, educational and administrative purposes.</w:t>
      </w:r>
    </w:p>
    <w:p>
      <w:pPr>
        <w:spacing w:after="0" w:line="186"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231F20"/>
        </w:rPr>
        <w:t>The Empirica License expires upon the expiration of the last-to-expire valid claim covering the antibody and antibody-derived technology licensed under the agreement, which, if issued, is expected to expire in 2037. The Toronto Universities may immediately terminate the agreement upon certain insolvency events or upon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231F20"/>
        </w:rPr>
        <w:t>our material breach with 30 days’ prior written notice and cure period. We may terminate the agreement for convenience upon 30 days’ written notice.</w:t>
      </w:r>
    </w:p>
    <w:p>
      <w:pPr>
        <w:spacing w:after="0" w:line="154"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231F20"/>
        </w:rPr>
        <w:t>Pursuant to the Empirica License, we are required to make aggregate milestone payments of $18 million to the Toronto Universities upon the achievement of regulatory approval for certain products developed pursuant to the Empirica License in the United States, European Union and Japan until the expiration of the last-to-expire valid claim covering the antibody and antibody-derived technology licensed under the agreement. We are also required to make royalty payments to the Toronto Universities in an amount equal to a low single-digit percentage of annual net sales of any product commercialized utilizing technology licensed under the Empirica License. We are also required to pay the Toronto Institutions 50% of all non-royalty payments from sublicenses up to certain maximum amounts and 50% of royalty payments from sublicenses up to a maximum low single-digit percentage. The Empirica License contains customary representations and warranties, confidentiality, insurance, audit and indemnification provisions.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Inscripta</w:t>
      </w:r>
    </w:p>
    <w:p>
      <w:pPr>
        <w:spacing w:after="0" w:line="21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231F20"/>
        </w:rPr>
        <w:t>In January 2019, we entered into a non-exclusive license agreement with Inscripta, Inc. Under the license agreement, we obtained a non-exclusive, worldwide, royalty-free, irrevocable license to a patent portfolio covering the composition, production and use of CRISPR-MAD7, a novel gene-editing CRISPR endonuclease from the Eubacterium rectale genome. The license agreement does not contain any payment terms; thus no payments have been made, or will be made, to Inscripta under the license agreement. The licensed intellectual property includes two issued U.S. patents and any pending applications claiming priority therefrom. Our license covers the use of CRISPR-MAD7 to perform research and development in both academic and commercial setting and use of MAD7 to perform commercial services, provided that such use may not include the (i) sale or resale of MAD7, including as part of a therapeutic product, (ii) continued use of MAD7 in a commercial manufacturing process or (iii) use of MAD7 in the editing of human embryos. Such license will expire upon the expiration of the last valid claim under the licensed patents, which is currently expected to expire in 2037. These licensed issued patents and any licensed patents that may issue from these pending patent applications will expire in 2037, without giving effect to any patent term adjustment or extension.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w:t>
      </w:r>
    </w:p>
    <w:p>
      <w:pPr>
        <w:spacing w:after="0" w:line="210"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231F20"/>
        </w:rPr>
        <w:t>Intellectual property is of vital importance in our field and in biotechnology generally. We seek to protect and enhance our intellectual property, proprietary technology, inventions, and improvements that are commercially important to the development of our business by seeking, maintaining, enforcing and defending patent rights, whether developed internally or licensed from third parties.</w:t>
      </w:r>
    </w:p>
    <w:p>
      <w:pPr>
        <w:spacing w:after="0" w:line="17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We do not own any issued patents covering our product candidates, platforms or technology and our patent portfolio is currently comprised only of patent applications. We have filed patent applications related to our product candidates CNTY-101, CNTY-102 and CNTY-107, but have not yet filed any patent applications on our other product candidates. We have also filed patent applications relating to our T-cell platform related to compositions and methods for generating alpha-beta and gamma delta T-cells from iPSCs. Additionally, we have filed a patent application on gene transfer vectors and methods of engineering iPSCs. We have sought patent protection in the United States related to our CNTY-101 product candidate, as well as other iPSC-derived engineered CAR cells comprising certain transgene insertions and deletions, including our proprietary Allo-Evasion™ technology. This portfolio covers compositions of programmed cellular immunotherapies, our proprietary Allo-Evasion™ technology and our platform for industrial scale iPSC engineering and differentiation. The portfolio also includes technology for a universal CAR cell platform and a novel safety switch. With regard to such United States provisional patent applications, if we do not timely file any non- provisional patent applications, we may lose our priority date with respect to our provisional patent applications and any patent protection on the inventions disclosed in our provisional patent applications. Such applications may not result in issued patents and, even if patents do issue, such patents may not be in a form that will provide us with meaningful protection for our product candidates. We also rely on trade secrets that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231F20"/>
        </w:rPr>
        <w:t>may be important to the development of our business, but which may be difficult to protect and provide us with only limited protection.</w:t>
      </w:r>
    </w:p>
    <w:p>
      <w:pPr>
        <w:spacing w:after="0" w:line="15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We expect to file additional patent applications in support of current and new clinical candidates as well as new platform and core technologies. Our commercial success will depend in part on obtaining, maintaining, protecting and enforcing patent protection and trade secret protection of our current and future product candidates and the methods used to develop and manufacture them, as well as successfully defending such patents against third-party challenges and operating without infringing, violating or misappropriating the intellectual property or proprietary rights of others. Our ability to stop unauthorized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spacing w:after="0" w:line="18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The term of individual patents depends upon the legal term of the patents in the countries in which they are obtained. In most countries in which we file, including the United States, the patent term is generally 20 years from the earliest date of filing a non-provisional or Patent Cooperation Treaty, or PCT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patent term of a patent that covers an FDA-approved drug may also be eligible for patent term extension, which permits patent term restoration as compensation for the patent term lost during the FDA regulatory review process. The Drug Price Competition and Patent Term Restoration Act, or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194" w:lineRule="exact"/>
        <w:rPr>
          <w:sz w:val="20"/>
          <w:szCs w:val="20"/>
          <w:color w:val="auto"/>
        </w:rPr>
      </w:pPr>
    </w:p>
    <w:p>
      <w:pPr>
        <w:ind w:left="60" w:right="59"/>
        <w:spacing w:after="0"/>
        <w:rPr>
          <w:sz w:val="20"/>
          <w:szCs w:val="20"/>
          <w:color w:val="auto"/>
        </w:rPr>
      </w:pPr>
      <w:r>
        <w:rPr>
          <w:rFonts w:ascii="Arial" w:cs="Arial" w:eastAsia="Arial" w:hAnsi="Arial"/>
          <w:sz w:val="18"/>
          <w:szCs w:val="18"/>
          <w:color w:val="231F20"/>
        </w:rPr>
        <w:t>In some instances, we submit patent applications directly with the USPTO as provisional patent applications. Corresponding non-provisional patent applications must be filed not later than 12 months after the provisional application filing date to claim priority to the provisional application filing date.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80" w:lineRule="exact"/>
        <w:rPr>
          <w:sz w:val="20"/>
          <w:szCs w:val="20"/>
          <w:color w:val="auto"/>
        </w:rPr>
      </w:pPr>
    </w:p>
    <w:p>
      <w:pPr>
        <w:ind w:left="60" w:right="259"/>
        <w:spacing w:after="0" w:line="261" w:lineRule="auto"/>
        <w:rPr>
          <w:sz w:val="20"/>
          <w:szCs w:val="20"/>
          <w:color w:val="auto"/>
        </w:rPr>
      </w:pPr>
      <w:r>
        <w:rPr>
          <w:rFonts w:ascii="Arial" w:cs="Arial" w:eastAsia="Arial" w:hAnsi="Arial"/>
          <w:sz w:val="17"/>
          <w:szCs w:val="17"/>
          <w:color w:val="231F20"/>
        </w:rPr>
        <w:t>We will file U.S. non-provisional applications and PCT applications that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patentability opinion for some or all of the claims filed in the application,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 phase applications. At the end of the period of two and a half years from the earliest priority date of the PCT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183"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For all patent applications, we determine claiming strategy on a case-by-case basis.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8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product candidates, platform or technology. We cannot predict whether the patent applications we are currently pursuing will issue as patents in any particular jurisdiction or whether the claims of any issued patents will provide sufficient proprietary protection from competitors. In addition, any patents that we hold may be challenged, circumvented or invalidated by third parties.</w:t>
      </w:r>
    </w:p>
    <w:p>
      <w:pPr>
        <w:spacing w:after="0" w:line="18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The patent positions of biotechnology companies like ours are generally uncertain and involve complex legal, scientific and factual questions. Our commercial success will also depend in part on not infringing, violating or misappropriating the intellectual property or proprietary rights of third parties. Third-party patents could require us to alter our development or commercial strategies, or our product candidates or processes, obtain licenses, which may not be available on commercially reasonable terms, or at all, or cease certain activities. If third parties prepare and file patent applications in the United States that also claim technology to which we have rights, we may have to participate in interference or derivation proceedings in the USPTO to determine priority of invention. Further, our breach of any license agreements or our failure to obtain a license to proprietary rights required to develop or commercialize our product candidates may have a material adverse impact on us. For more information, see “Risk Factors—Risks Related to Intellectual Property.”</w:t>
      </w:r>
    </w:p>
    <w:p>
      <w:pPr>
        <w:spacing w:after="0" w:line="18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In addition to patent protection, we also rely on trade secrets, know-how, other proprietary information and/or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231F20"/>
        </w:rPr>
        <w:t>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our intellectual property.”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 relating to iPSC technology</w:t>
      </w:r>
    </w:p>
    <w:p>
      <w:pPr>
        <w:spacing w:after="0" w:line="21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We have licensed from FCDI a portfolio of six patent families including issued patents and pending applications broadly applicable to the reprogramming of somatic cells. Our license is non-exclusive within the field of cancer immunotherapeutics in the worldwide territory outside of Japan. This portfolio covers various aspects of the generation of human iPSCs from somatic cells and, as of May 31, 2021, includes 12 issued U.S. patents claiming methods and compositions used in the reprogramming of human somatic cells to iPSCs. Specifically, the portfolio includes patents with claims for producing human iPSCs from hematopoietic progenitor cells using episomal genetic vectors and includes claims for doing the reprogramming under feeder free conditions. The portfolio also includes a composition of matter patent issued in the United States covering an Epstein-Barr Virus, or EBV, reprogramming vector containing genes for certain reprogramming factors. These issued patents and any patents that may issue from these pending patent applications will expire on dates ranging from 2029 to 2034, without giving effect to any patent term adjustment or extension.</w:t>
      </w:r>
    </w:p>
    <w:p>
      <w:pPr>
        <w:spacing w:after="0" w:line="186" w:lineRule="exact"/>
        <w:rPr>
          <w:sz w:val="20"/>
          <w:szCs w:val="20"/>
          <w:color w:val="auto"/>
        </w:rPr>
      </w:pPr>
    </w:p>
    <w:p>
      <w:pPr>
        <w:ind w:left="60" w:right="439"/>
        <w:spacing w:after="0" w:line="247" w:lineRule="auto"/>
        <w:rPr>
          <w:sz w:val="20"/>
          <w:szCs w:val="20"/>
          <w:color w:val="auto"/>
        </w:rPr>
      </w:pPr>
      <w:r>
        <w:rPr>
          <w:rFonts w:ascii="Arial" w:cs="Arial" w:eastAsia="Arial" w:hAnsi="Arial"/>
          <w:sz w:val="18"/>
          <w:szCs w:val="18"/>
          <w:color w:val="231F20"/>
        </w:rPr>
        <w:t>Included within the license is a sublicense under certain patents, which are directed to compositions and methods of using and making iPSCs, owned by WARF relating to the so-called “Thompson Factors” for reprogramming human cells to iPSCs, The issued United States patents in this portfolio will expire on dates ranging from 2028 to 2029, without giving effect to any patent term adjustment or extension.</w:t>
      </w:r>
    </w:p>
    <w:p>
      <w:pPr>
        <w:spacing w:after="0" w:line="17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31F20"/>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 relating to genetic engineering</w:t>
      </w:r>
    </w:p>
    <w:p>
      <w:pPr>
        <w:spacing w:after="0" w:line="210" w:lineRule="exact"/>
        <w:rPr>
          <w:sz w:val="20"/>
          <w:szCs w:val="20"/>
          <w:color w:val="auto"/>
        </w:rPr>
      </w:pPr>
    </w:p>
    <w:p>
      <w:pPr>
        <w:ind w:left="60" w:right="219"/>
        <w:spacing w:after="0"/>
        <w:rPr>
          <w:sz w:val="20"/>
          <w:szCs w:val="20"/>
          <w:color w:val="auto"/>
        </w:rPr>
      </w:pPr>
      <w:r>
        <w:rPr>
          <w:rFonts w:ascii="Arial" w:cs="Arial" w:eastAsia="Arial" w:hAnsi="Arial"/>
          <w:sz w:val="18"/>
          <w:szCs w:val="18"/>
          <w:color w:val="231F20"/>
        </w:rPr>
        <w:t>In January 2019, we entered into a non-exclusive license agreement with Inscripta, Inc. Under the license agreement, we obtained a non-exclusive, royalty-free, irrevocable license to a patent portfolio covering the composition, production and use of CRISPR-MAD7, a novel gene-editing CRISPR endonuclease from the Eubacterium rectale genome. The intellectual property includes two issued U.S. patents and any pending applications claiming priority therefrom. Our license covers the making and using of CRISPR-MAD7 for editing iPSCs, making master engineered iPSC lines and using master engineered iPSC lines to manufacture human therapeutic products. These issued patents and any patents that may issue from these pending patent applications will expire in 2037, without giving effect to any patent term adjustment or extension.</w:t>
      </w:r>
    </w:p>
    <w:p>
      <w:pPr>
        <w:spacing w:after="0" w:line="18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31F20"/>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 relating to the differentiation of hematopoietic cells</w:t>
      </w:r>
    </w:p>
    <w:p>
      <w:pPr>
        <w:spacing w:after="0" w:line="210"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231F20"/>
        </w:rPr>
        <w:t>We have licensed from FCDI a portfolio of six patent families regarding methods of differentiating iPSC cells including issued patents and pending patent applications broadly applicable to the differentiation of iPSC cells, the last of which is currently expected to expire in 2036. Our license is exclusive to exploit cancer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rPr>
          <w:sz w:val="20"/>
          <w:szCs w:val="20"/>
          <w:color w:val="auto"/>
        </w:rPr>
      </w:pPr>
      <w:r>
        <w:rPr>
          <w:rFonts w:ascii="Arial" w:cs="Arial" w:eastAsia="Arial" w:hAnsi="Arial"/>
          <w:sz w:val="18"/>
          <w:szCs w:val="18"/>
          <w:color w:val="231F20"/>
        </w:rPr>
        <w:t>immunotherapeutic products consisting of cells that are or are modifications of NK cells, T cells, dendritic cells and macrophages derived from human iPSCs. This portfolio covers various aspects of the generation of hematopoietic precursor and immune effector cells from iPSCs and, as of May 31, 2021, includes five issued U.S. patents claiming methods for the differentiation of human iPSCs to hematopoietic precursor cells and further differentiation into immune effector cells. Specifically, the portfolio includes patents with claims for producing hematopoietic precursor cells from iPSCs using a multi-step process involving certain defined media. These issued patents and any patents that may issue from these pending patent applications will expire on dates ranging from 2030 to 2036, without giving effect to any patent term adjustment or extension.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 relating to engineered iPSCs and derivative cells</w:t>
      </w:r>
    </w:p>
    <w:p>
      <w:pPr>
        <w:spacing w:after="0" w:line="210"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231F20"/>
        </w:rPr>
        <w:t>Currently, we own ten pending utility patent applications and eight pending provisional patent applications covering our engineered iPSC cells, cell differentiation technology, compositions of engineered cellular immunotherapies, and gene transfer vectors and methods of engineering iPSC cells. The portfolio includes composition of matter claims covering our CNTY-101, CNTY-102 and CNTY-107 products, as well as other iPSC-derived engineered CAR cells comprising certain transgene insertions and deletions, including our proprietary Allo-Evasion™ technology. One of our provisional patent applications includes claims directed to a universal CAR cell platform. We have also filed patent applications relating to our T-cell platform related to compositions and methods for generating alpha-beta and gamma delta T cells from iPSCs. We have also filed patent applications related to a novel safety switch. Any U.S. patents that may issue from such pending provisional patent applications would expire in from 2040-2042, without giving effect to any patent term adjustment or extension.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 relating to engineered T cells</w:t>
      </w:r>
    </w:p>
    <w:p>
      <w:pPr>
        <w:spacing w:after="0" w:line="21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231F20"/>
        </w:rPr>
        <w:t>We have exclusively sublicensed from iCELL two families of patents owned by the University of Tokyo relating to immune function reconstruction method using multipotent stem cells and method for producing antigen-specific T cells. The portfolio includes two issued U.S. patents claiming methods for the production of T cells having antigen specificity from iPSC cells derived from human T cells where the T cells differentiated from the iPSC cells retain the antigen specificity of the human T cell from which it was derived. These issued patents will expire in 2031, without giving effect to any patent term adjustment or extension.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Competition</w:t>
      </w:r>
    </w:p>
    <w:p>
      <w:pPr>
        <w:spacing w:after="0" w:line="214"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231F20"/>
        </w:rPr>
        <w:t>The biotechnology and pharmaceutical industries have made substantial investments in recent years into the rapid development of novel immunotherapies for the treatment of a range of pathologies, including infectious diseases and cancers, making this a highly competitive market.</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We face substantial competition from multiple sources, including large and specialty pharmaceutical, biopharmaceutical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immunotherapy and, furthermore, within the treatment of infectious diseases and cancers. In addition to the current standard of care treatments for patients with infectious diseases or cancers, numerous commercial and academic preclinical studies and clinical trials are being undertaken by a large number of parties to assess novel technologies and product candidates in the field of immunotherapy. Results from these studies and trials have fueled increasing levels of interest in the field of immunotherapy.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301" w:lineRule="auto"/>
        <w:rPr>
          <w:sz w:val="20"/>
          <w:szCs w:val="20"/>
          <w:color w:val="auto"/>
        </w:rPr>
      </w:pPr>
      <w:r>
        <w:rPr>
          <w:rFonts w:ascii="Arial" w:cs="Arial" w:eastAsia="Arial" w:hAnsi="Arial"/>
          <w:sz w:val="17"/>
          <w:szCs w:val="17"/>
          <w:color w:val="231F20"/>
        </w:rPr>
        <w:t>Large pharmaceutical companies that have commercialized or are developing immunotherapies to treat cancer include AstraZeneca, Bristol-Myers Squibb, Gilead Sciences, Merck, Novartis, Pfizer, and Roche/Genentech.</w:t>
      </w:r>
    </w:p>
    <w:p>
      <w:pPr>
        <w:spacing w:after="0" w:line="131"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231F20"/>
        </w:rPr>
        <w:t>Companies that compete with us directly on the level of the development of product candidates targeting B-cell lymphomas include Gilead Sciences, Novartis and Bristol-Myers Squibb, among others. Companies developing Nectin-4 targeted agents include Seagen, Astellas and Bicycle Therapeutics.</w:t>
      </w:r>
    </w:p>
    <w:p>
      <w:pPr>
        <w:spacing w:after="0" w:line="169"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231F20"/>
        </w:rPr>
        <w:t>On the technology level, other emerging biopharmaceutical companies which can potentially develop competing cell therapy candidates to treat cancer include Editas Medicine, Inc., Fate Therapeutics, Allogene Therapeutics, CRIPSR Therapeutics, Caribou Biosciences, Cytovia Therapeutics, Shoreline Biosciences, Sana Biotechnology and Nkarta Therapeutics.</w:t>
      </w:r>
    </w:p>
    <w:p>
      <w:pPr>
        <w:spacing w:after="0" w:line="174"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231F20"/>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 qualified scientific and management personnel and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color w:val="231F20"/>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Government regulation</w:t>
      </w:r>
    </w:p>
    <w:p>
      <w:pPr>
        <w:spacing w:after="0" w:line="214"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231F20"/>
        </w:rPr>
        <w:t>In the United States, biologic products are licensed by FDA for marketing under the Public Health Service Act, referred to as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United States development process</w:t>
      </w:r>
    </w:p>
    <w:p>
      <w:pPr>
        <w:spacing w:after="0" w:line="210"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231F20"/>
        </w:rPr>
        <w:t>The process required by the FDA before a biologic product may be marketed in the United States generally involves the following:</w:t>
      </w:r>
    </w:p>
    <w:p>
      <w:pPr>
        <w:spacing w:after="0" w:line="154" w:lineRule="exact"/>
        <w:rPr>
          <w:sz w:val="20"/>
          <w:szCs w:val="20"/>
          <w:color w:val="auto"/>
        </w:rPr>
      </w:pPr>
    </w:p>
    <w:p>
      <w:pPr>
        <w:ind w:left="720" w:right="239" w:hanging="319"/>
        <w:spacing w:after="0" w:line="252" w:lineRule="auto"/>
        <w:tabs>
          <w:tab w:leader="none" w:pos="720" w:val="left"/>
        </w:tabs>
        <w:numPr>
          <w:ilvl w:val="0"/>
          <w:numId w:val="13"/>
        </w:numPr>
        <w:rPr>
          <w:rFonts w:ascii="Times New Roman" w:cs="Times New Roman" w:eastAsia="Times New Roman" w:hAnsi="Times New Roman"/>
          <w:sz w:val="18"/>
          <w:szCs w:val="18"/>
          <w:color w:val="231F20"/>
        </w:rPr>
      </w:pPr>
      <w:r>
        <w:rPr>
          <w:rFonts w:ascii="Arial" w:cs="Arial" w:eastAsia="Arial" w:hAnsi="Arial"/>
          <w:sz w:val="18"/>
          <w:szCs w:val="18"/>
          <w:color w:val="231F20"/>
        </w:rPr>
        <w:t>completion of nonclinical laboratory tests and animal studies according to Good Laboratory Practices, or cGLP, and applicable requirements for the humane use of laboratory animals or other applicable regulations;</w:t>
      </w:r>
    </w:p>
    <w:p>
      <w:pPr>
        <w:spacing w:after="0" w:line="157"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231F20"/>
        </w:rPr>
      </w:pPr>
      <w:r>
        <w:rPr>
          <w:rFonts w:ascii="Arial" w:cs="Arial" w:eastAsia="Arial" w:hAnsi="Arial"/>
          <w:sz w:val="18"/>
          <w:szCs w:val="18"/>
          <w:color w:val="231F20"/>
        </w:rPr>
        <w:t>preparation of clinical trial material in accordance with cGMP;</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99" w:hanging="319"/>
        <w:spacing w:after="0" w:line="270" w:lineRule="auto"/>
        <w:tabs>
          <w:tab w:leader="none" w:pos="72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submission to the FDA of an application for an IND, which must become effective before human clinical trials may begin;</w:t>
      </w:r>
    </w:p>
    <w:p>
      <w:pPr>
        <w:spacing w:after="0" w:line="140" w:lineRule="exact"/>
        <w:rPr>
          <w:rFonts w:ascii="Times New Roman" w:cs="Times New Roman" w:eastAsia="Times New Roman" w:hAnsi="Times New Roman"/>
          <w:sz w:val="18"/>
          <w:szCs w:val="18"/>
          <w:color w:val="231F20"/>
        </w:rPr>
      </w:pPr>
    </w:p>
    <w:p>
      <w:pPr>
        <w:ind w:left="720" w:right="319" w:hanging="319"/>
        <w:spacing w:after="0" w:line="270" w:lineRule="auto"/>
        <w:tabs>
          <w:tab w:leader="none" w:pos="72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approval by an institutional review board, or IRB, reviewing each clinical site before each clinical trial may be initiated;</w:t>
      </w:r>
    </w:p>
    <w:p>
      <w:pPr>
        <w:spacing w:after="0" w:line="140" w:lineRule="exact"/>
        <w:rPr>
          <w:rFonts w:ascii="Times New Roman" w:cs="Times New Roman" w:eastAsia="Times New Roman" w:hAnsi="Times New Roman"/>
          <w:sz w:val="18"/>
          <w:szCs w:val="18"/>
          <w:color w:val="231F20"/>
        </w:rPr>
      </w:pPr>
    </w:p>
    <w:p>
      <w:pPr>
        <w:ind w:left="720" w:right="119" w:hanging="319"/>
        <w:spacing w:after="0" w:line="246" w:lineRule="auto"/>
        <w:tabs>
          <w:tab w:leader="none" w:pos="72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performance of adequate and well-controlled human clinical trials according to Current Good Clinical Practices, or cGCP, and any additional requirements for the protection of human research subjects and their health information, to establish the safety, purity, potency, and efficacy, of the proposed biologic product for its intended use;</w:t>
      </w:r>
    </w:p>
    <w:p>
      <w:pPr>
        <w:spacing w:after="0" w:line="176" w:lineRule="exact"/>
        <w:rPr>
          <w:rFonts w:ascii="Times New Roman" w:cs="Times New Roman" w:eastAsia="Times New Roman" w:hAnsi="Times New Roman"/>
          <w:sz w:val="18"/>
          <w:szCs w:val="18"/>
          <w:color w:val="231F20"/>
        </w:rPr>
      </w:pPr>
    </w:p>
    <w:p>
      <w:pPr>
        <w:ind w:left="720" w:right="159" w:hanging="319"/>
        <w:spacing w:after="0" w:line="252" w:lineRule="auto"/>
        <w:tabs>
          <w:tab w:leader="none" w:pos="72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submission to the FDA of a Biologics License Application, or BLA, for marketing approval that includes substantive evidence of safety, purity, potency, and efficacy from results of nonclinical testing and clinical trials;</w:t>
      </w:r>
    </w:p>
    <w:p>
      <w:pPr>
        <w:spacing w:after="0" w:line="170" w:lineRule="exact"/>
        <w:rPr>
          <w:rFonts w:ascii="Times New Roman" w:cs="Times New Roman" w:eastAsia="Times New Roman" w:hAnsi="Times New Roman"/>
          <w:sz w:val="18"/>
          <w:szCs w:val="18"/>
          <w:color w:val="231F20"/>
        </w:rPr>
      </w:pPr>
    </w:p>
    <w:p>
      <w:pPr>
        <w:ind w:left="720" w:right="359" w:hanging="319"/>
        <w:spacing w:after="0" w:line="246" w:lineRule="auto"/>
        <w:tabs>
          <w:tab w:leader="none" w:pos="72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satisfactory completion of an FDA inspection prior to BLA approval of the manufacturing facility or facilities where the biologic product is produced to assess compliance with cGMP, to assure that the facilities, methods and controls are adequate to preserve the biologic’s identity, strength, quality and purity;</w:t>
      </w:r>
    </w:p>
    <w:p>
      <w:pPr>
        <w:spacing w:after="0" w:line="176" w:lineRule="exact"/>
        <w:rPr>
          <w:rFonts w:ascii="Times New Roman" w:cs="Times New Roman" w:eastAsia="Times New Roman" w:hAnsi="Times New Roman"/>
          <w:sz w:val="18"/>
          <w:szCs w:val="18"/>
          <w:color w:val="231F20"/>
        </w:rPr>
      </w:pPr>
    </w:p>
    <w:p>
      <w:pPr>
        <w:ind w:left="720" w:right="279" w:hanging="319"/>
        <w:spacing w:after="0" w:line="270" w:lineRule="auto"/>
        <w:tabs>
          <w:tab w:leader="none" w:pos="72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potential FDA audit of the nonclinical and clinical study sites that generated the data in support of the BLA;</w:t>
      </w:r>
    </w:p>
    <w:p>
      <w:pPr>
        <w:spacing w:after="0" w:line="154" w:lineRule="exact"/>
        <w:rPr>
          <w:rFonts w:ascii="Times New Roman" w:cs="Times New Roman" w:eastAsia="Times New Roman" w:hAnsi="Times New Roman"/>
          <w:sz w:val="18"/>
          <w:szCs w:val="18"/>
          <w:color w:val="231F20"/>
        </w:rPr>
      </w:pPr>
    </w:p>
    <w:p>
      <w:pPr>
        <w:ind w:left="720" w:right="239" w:hanging="319"/>
        <w:spacing w:after="0" w:line="270" w:lineRule="auto"/>
        <w:tabs>
          <w:tab w:leader="none" w:pos="72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potential FDA Advisory Committee meeting to elicit expert input on critical issues and including a vote by external committee members;</w:t>
      </w:r>
    </w:p>
    <w:p>
      <w:pPr>
        <w:spacing w:after="0" w:line="154" w:lineRule="exact"/>
        <w:rPr>
          <w:rFonts w:ascii="Times New Roman" w:cs="Times New Roman" w:eastAsia="Times New Roman" w:hAnsi="Times New Roman"/>
          <w:sz w:val="18"/>
          <w:szCs w:val="18"/>
          <w:color w:val="231F20"/>
        </w:rPr>
      </w:pPr>
    </w:p>
    <w:p>
      <w:pPr>
        <w:ind w:left="720" w:right="739" w:hanging="319"/>
        <w:spacing w:after="0" w:line="270" w:lineRule="auto"/>
        <w:tabs>
          <w:tab w:leader="none" w:pos="72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FDA review and approval, or licensure, of the BLA, and payment of associated user fees, when applicable; and</w:t>
      </w:r>
    </w:p>
    <w:p>
      <w:pPr>
        <w:spacing w:after="0" w:line="154" w:lineRule="exact"/>
        <w:rPr>
          <w:rFonts w:ascii="Times New Roman" w:cs="Times New Roman" w:eastAsia="Times New Roman" w:hAnsi="Times New Roman"/>
          <w:sz w:val="18"/>
          <w:szCs w:val="18"/>
          <w:color w:val="231F20"/>
        </w:rPr>
      </w:pPr>
    </w:p>
    <w:p>
      <w:pPr>
        <w:ind w:left="720" w:right="359" w:hanging="319"/>
        <w:spacing w:after="0" w:line="252" w:lineRule="auto"/>
        <w:tabs>
          <w:tab w:leader="none" w:pos="72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compliance with any post-approval requirements, including the potential requirement to implement a Risk Evaluation and Mitigation Strategies, or REMS, and the potential requirement to conduct post-approval studies.</w:t>
      </w:r>
    </w:p>
    <w:p>
      <w:pPr>
        <w:spacing w:after="0" w:line="171"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231F20"/>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7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231F20"/>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183"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231F20"/>
        </w:rPr>
        <w:t>Clinical trials may involve the administration of the biologic product candidate to healthy volunteers or subjects under the supervision of qualified investigators, generally physicians not employed by or under the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cGCP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Human clinical trials are typically conducted in three sequential phases that may overlap or be combined:</w:t>
      </w:r>
    </w:p>
    <w:p>
      <w:pPr>
        <w:spacing w:after="0" w:line="208" w:lineRule="exact"/>
        <w:rPr>
          <w:sz w:val="20"/>
          <w:szCs w:val="20"/>
          <w:color w:val="auto"/>
        </w:rPr>
      </w:pPr>
    </w:p>
    <w:p>
      <w:pPr>
        <w:jc w:val="both"/>
        <w:ind w:left="720" w:right="139" w:hanging="319"/>
        <w:spacing w:after="0" w:line="262" w:lineRule="auto"/>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Phase 1</w:t>
      </w:r>
      <w:r>
        <w:rPr>
          <w:rFonts w:ascii="Arial" w:cs="Arial" w:eastAsia="Arial" w:hAnsi="Arial"/>
          <w:sz w:val="18"/>
          <w:szCs w:val="18"/>
          <w:color w:val="231F20"/>
        </w:rPr>
        <w:t>. The biologic product is initially introduced into healthy human subjects and tested for safety. In</w:t>
      </w:r>
      <w:r>
        <w:rPr>
          <w:rFonts w:ascii="Times New Roman" w:cs="Times New Roman" w:eastAsia="Times New Roman" w:hAnsi="Times New Roman"/>
          <w:sz w:val="18"/>
          <w:szCs w:val="18"/>
          <w:b w:val="1"/>
          <w:bCs w:val="1"/>
          <w:i w:val="1"/>
          <w:iCs w:val="1"/>
          <w:color w:val="231F20"/>
        </w:rPr>
        <w:t xml:space="preserve"> </w:t>
      </w:r>
      <w:r>
        <w:rPr>
          <w:rFonts w:ascii="Arial" w:cs="Arial" w:eastAsia="Arial" w:hAnsi="Arial"/>
          <w:sz w:val="18"/>
          <w:szCs w:val="18"/>
          <w:color w:val="231F20"/>
        </w:rPr>
        <w:t>the case of some products for rare and severe diseases, the initial human testing is often conducted in patients.</w:t>
      </w:r>
    </w:p>
    <w:p>
      <w:pPr>
        <w:spacing w:after="0" w:line="157" w:lineRule="exact"/>
        <w:rPr>
          <w:rFonts w:ascii="Times New Roman" w:cs="Times New Roman" w:eastAsia="Times New Roman" w:hAnsi="Times New Roman"/>
          <w:sz w:val="18"/>
          <w:szCs w:val="18"/>
          <w:color w:val="231F20"/>
        </w:rPr>
      </w:pPr>
    </w:p>
    <w:p>
      <w:pPr>
        <w:ind w:left="720" w:right="379" w:hanging="319"/>
        <w:spacing w:after="0" w:line="262" w:lineRule="auto"/>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Phase 2</w:t>
      </w:r>
      <w:r>
        <w:rPr>
          <w:rFonts w:ascii="Arial" w:cs="Arial" w:eastAsia="Arial" w:hAnsi="Arial"/>
          <w:sz w:val="18"/>
          <w:szCs w:val="18"/>
          <w:color w:val="231F20"/>
        </w:rPr>
        <w:t>. The biologic product is evaluated in a limited patient population to identify possible adverse</w:t>
      </w:r>
      <w:r>
        <w:rPr>
          <w:rFonts w:ascii="Times New Roman" w:cs="Times New Roman" w:eastAsia="Times New Roman" w:hAnsi="Times New Roman"/>
          <w:sz w:val="18"/>
          <w:szCs w:val="18"/>
          <w:b w:val="1"/>
          <w:bCs w:val="1"/>
          <w:i w:val="1"/>
          <w:iCs w:val="1"/>
          <w:color w:val="231F20"/>
        </w:rPr>
        <w:t xml:space="preserve"> </w:t>
      </w:r>
      <w:r>
        <w:rPr>
          <w:rFonts w:ascii="Arial" w:cs="Arial" w:eastAsia="Arial" w:hAnsi="Arial"/>
          <w:sz w:val="18"/>
          <w:szCs w:val="18"/>
          <w:color w:val="231F20"/>
        </w:rPr>
        <w:t>effects and safety risks, to preliminarily evaluate the efficacy of the product for specific targeted diseases and to determine dosage tolerance, optimal dosage and dosing schedule.</w:t>
      </w:r>
    </w:p>
    <w:p>
      <w:pPr>
        <w:spacing w:after="0" w:line="157" w:lineRule="exact"/>
        <w:rPr>
          <w:rFonts w:ascii="Times New Roman" w:cs="Times New Roman" w:eastAsia="Times New Roman" w:hAnsi="Times New Roman"/>
          <w:sz w:val="18"/>
          <w:szCs w:val="18"/>
          <w:color w:val="231F20"/>
        </w:rPr>
      </w:pPr>
    </w:p>
    <w:p>
      <w:pPr>
        <w:ind w:left="720" w:right="119" w:hanging="319"/>
        <w:spacing w:after="0" w:line="245" w:lineRule="auto"/>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Phase 3</w:t>
      </w:r>
      <w:r>
        <w:rPr>
          <w:rFonts w:ascii="Arial" w:cs="Arial" w:eastAsia="Arial" w:hAnsi="Arial"/>
          <w:sz w:val="18"/>
          <w:szCs w:val="18"/>
          <w:color w:val="231F20"/>
        </w:rPr>
        <w:t>. Clinical trials are undertaken to further evaluate dosage, clinical efficacy, potency and safety in</w:t>
      </w:r>
      <w:r>
        <w:rPr>
          <w:rFonts w:ascii="Times New Roman" w:cs="Times New Roman" w:eastAsia="Times New Roman" w:hAnsi="Times New Roman"/>
          <w:sz w:val="18"/>
          <w:szCs w:val="18"/>
          <w:b w:val="1"/>
          <w:bCs w:val="1"/>
          <w:i w:val="1"/>
          <w:iCs w:val="1"/>
          <w:color w:val="231F20"/>
        </w:rPr>
        <w:t xml:space="preserve"> </w:t>
      </w:r>
      <w:r>
        <w:rPr>
          <w:rFonts w:ascii="Arial" w:cs="Arial" w:eastAsia="Arial" w:hAnsi="Arial"/>
          <w:sz w:val="18"/>
          <w:szCs w:val="18"/>
          <w:color w:val="231F20"/>
        </w:rPr>
        <w:t>an expanded patient population at geographically dispersed clinical trial sites. These clinical trials are intended to establish the overall risk/benefit ratio of the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179"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231F20"/>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use of biologics,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231F20"/>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76" w:lineRule="exact"/>
        <w:rPr>
          <w:sz w:val="20"/>
          <w:szCs w:val="20"/>
          <w:color w:val="auto"/>
        </w:rPr>
      </w:pPr>
    </w:p>
    <w:p>
      <w:pPr>
        <w:ind w:left="60" w:right="459"/>
        <w:spacing w:after="0" w:line="247" w:lineRule="auto"/>
        <w:rPr>
          <w:sz w:val="20"/>
          <w:szCs w:val="20"/>
          <w:color w:val="auto"/>
        </w:rPr>
      </w:pPr>
      <w:r>
        <w:rPr>
          <w:rFonts w:ascii="Arial" w:cs="Arial" w:eastAsia="Arial" w:hAnsi="Arial"/>
          <w:sz w:val="18"/>
          <w:szCs w:val="18"/>
          <w:color w:val="231F20"/>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United States review and approval processes</w:t>
      </w:r>
    </w:p>
    <w:p>
      <w:pPr>
        <w:spacing w:after="0" w:line="210"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231F20"/>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79"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231F20"/>
        </w:rPr>
        <w:t>Under the Prescription Drug User Fee Act, as amended, or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17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231F20"/>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and has an acceptable purity profile, and whether the product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231F20"/>
        </w:rPr>
        <w:t>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16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31F20"/>
        </w:rPr>
        <w:t>Before approving a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cGCP requirements. To assure cGMP and cGCP compliance, an applicant must incur significant expenditure of time, money and effort in the areas of training, record keeping, production, and quality control. 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w:t>
      </w:r>
    </w:p>
    <w:p>
      <w:pPr>
        <w:spacing w:after="0" w:line="18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231F20"/>
        </w:rPr>
        <w:t>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6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231F20"/>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83"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231F20"/>
        </w:rPr>
        <w:t>One of the performance goals agreed to by the FDA under the PDUFA is to review standard BLAs in ten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United States post-approval requirements</w:t>
      </w:r>
    </w:p>
    <w:p>
      <w:pPr>
        <w:spacing w:after="0" w:line="21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231F20"/>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w:t>
      </w:r>
    </w:p>
    <w:p>
      <w:pPr>
        <w:spacing w:after="0" w:line="179" w:lineRule="exact"/>
        <w:rPr>
          <w:sz w:val="20"/>
          <w:szCs w:val="20"/>
          <w:color w:val="auto"/>
        </w:rPr>
      </w:pPr>
    </w:p>
    <w:p>
      <w:pPr>
        <w:ind w:left="60" w:right="379"/>
        <w:spacing w:after="0" w:line="275" w:lineRule="auto"/>
        <w:rPr>
          <w:sz w:val="20"/>
          <w:szCs w:val="20"/>
          <w:color w:val="auto"/>
        </w:rPr>
      </w:pPr>
      <w:r>
        <w:rPr>
          <w:rFonts w:ascii="Arial" w:cs="Arial" w:eastAsia="Arial" w:hAnsi="Arial"/>
          <w:sz w:val="17"/>
          <w:szCs w:val="17"/>
          <w:color w:val="231F20"/>
        </w:rPr>
        <w:t>Following approval, the manufacturing facilities are subject to biennial inspections by the FDA’s and such inspections may result in an issuance of FDA Form 483 deficiency observations, untitled letter, or a warning letter, which can lead to plant shutdown and other more serious penalties and fines. Prior to the institution of</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231F20"/>
        </w:rPr>
        <w:t>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17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18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89"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231F20"/>
        </w:rPr>
        <w:t>Biological product manufacturers and other entities involved in the manufacture and distribution of approved biological products, and those supplying products, ingredients, and components of them,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Orphan drug designation</w:t>
      </w:r>
    </w:p>
    <w:p>
      <w:pPr>
        <w:spacing w:after="0" w:line="210"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231F20"/>
        </w:rPr>
        <w:t>Under the Orphan Drug Act, the FDA may grant Orphan Drug Designation, or ODD, to a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ODD must be requested before submitting a BLA. After the FDA grants ODD, the identity of the therapeutic agent and its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231F20"/>
        </w:rPr>
        <w:t>potential orphan use are disclosed publicly by the FDA. ODD does not convey any advantage in or shorten the duration of the regulatory review and approval process.</w:t>
      </w:r>
    </w:p>
    <w:p>
      <w:pPr>
        <w:spacing w:after="0" w:line="154"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231F20"/>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Expedited review and approval programs</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FDA has various programs, including fast track designation, priority review, accelerated approval, and breakthrough therapy designation, that are intended to expedite or simplify the process for the development and 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18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The FDA may give priority review designation to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Under the Food and Drug Omnibus Reform Act of 2022, or FDORA, the FDA is permitted to require, as appropriate, that a post-approval confirmatory study or studies be underway prior to approval or within a specified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In addition, the FDA generally requires,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231F20"/>
        </w:rPr>
        <w:t>unless otherwise informed by the agency, pre-approval of promotional materials for a product approved under the accelerated approval pathway, which could adversely impact the timing of the commercial launch of the product.</w:t>
      </w:r>
    </w:p>
    <w:p>
      <w:pPr>
        <w:spacing w:after="0" w:line="16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Moreover,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83"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231F20"/>
        </w:rPr>
        <w:t>Even if a product qualifies for one or more of these programs, the FDA may later decide that the product no longer meets the conditions for qualification or decides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Biologics Price Competition and Innovation Act</w:t>
      </w:r>
    </w:p>
    <w:p>
      <w:pPr>
        <w:spacing w:after="0" w:line="210" w:lineRule="exact"/>
        <w:rPr>
          <w:sz w:val="20"/>
          <w:szCs w:val="20"/>
          <w:color w:val="auto"/>
        </w:rPr>
      </w:pPr>
    </w:p>
    <w:p>
      <w:pPr>
        <w:ind w:left="60" w:right="59"/>
        <w:spacing w:after="0" w:line="251" w:lineRule="auto"/>
        <w:rPr>
          <w:sz w:val="20"/>
          <w:szCs w:val="20"/>
          <w:color w:val="auto"/>
        </w:rPr>
      </w:pPr>
      <w:r>
        <w:rPr>
          <w:rFonts w:ascii="Arial" w:cs="Arial" w:eastAsia="Arial" w:hAnsi="Arial"/>
          <w:sz w:val="17"/>
          <w:szCs w:val="17"/>
          <w:color w:val="231F20"/>
        </w:rPr>
        <w:t>The Biologics Price Competition and Innovation Act of 2009, or BPCIA, which was enacted as part of the Patient Protection and Affordable Care Act of 2010, as amended by the Health Care and Education Reconciliation Act of 2010, or PPACA,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in vitro studies, in vivo animal studies, and generally at least one clinical study, absent a waiver from the Secretary of Health and Human Services.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Regulation outside of the United States</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In addition to regulations in the United States, we are subject to a variety of regulations in other jurisdictions governing clinical studies, commercial sales, and distribution of our products. Most countries outside of the United States require that CTAs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new Clinical Trials Regulation (EU) No 536/2014, which replaced the Clinical Trials Directive 2001/20/EC on January 31, 2022, a single application is now made through the Clinical Trials Information System, or CTIS, for clinical trial authorization in up to 30 EU/EEA countries at the same time and with a single set of documentation.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231F20"/>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(Concerned Member States) of a draft report prepared by a Reference Member State. Part II is assessed separately by each Concerned Member State. The role of the relevant ethics committees in the assessment procedure will continue to be governed by the national law of the Concerned Member State, however overall related timelines are defined by the Clinical Trials Regulation. The new Clinical Trials Regulation also provides for simplified reporting procedures for clinical trial sponsors.</w:t>
      </w:r>
    </w:p>
    <w:p>
      <w:pPr>
        <w:spacing w:after="0" w:line="168"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231F20"/>
        </w:rPr>
        <w:t>In addition, whether or not we obtain FDA approval for a product, we must obtain approval of a product by the comparable regulatory authorities of countries outside the United States before we can market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76"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To obtain regulatory approval of our product candidates under the European Union regulatory system, we are required to submit a marketing authorization application, or MAA, to be assessed in the centralized procedure. The centralized procedure allows applicants to obtain a marketing authorization, or MA, that is valid throughout the European Union, and the additional Member States of the European Economic Area (Iceland, Liechtenstein and Norway), or EEA. It is compulsory for medicinal products manufactured using biotechnological processes, for orphan medicinal products, for advanced therapy medicinal products (gene-therapy, somatic cell-therapy or tissue-engineered medicines) and for human products containing a new active substance which are not authorized in the European Union and which are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that constitute a significant therapeutic, scientific or technical innovation or for which a centralized authorization is in the interests of patients at European Union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 profile. The procedure results in a European Commission decision, which is valid in all European Union Member States. The centralized procedure is as follows: full copies of the MA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 has been granted.</w:t>
      </w:r>
    </w:p>
    <w:p>
      <w:pPr>
        <w:spacing w:after="0" w:line="192" w:lineRule="exact"/>
        <w:rPr>
          <w:sz w:val="20"/>
          <w:szCs w:val="20"/>
          <w:color w:val="auto"/>
        </w:rPr>
      </w:pPr>
    </w:p>
    <w:p>
      <w:pPr>
        <w:jc w:val="both"/>
        <w:ind w:left="60" w:right="159"/>
        <w:spacing w:after="0" w:line="255" w:lineRule="auto"/>
        <w:rPr>
          <w:sz w:val="20"/>
          <w:szCs w:val="20"/>
          <w:color w:val="auto"/>
        </w:rPr>
      </w:pPr>
      <w:r>
        <w:rPr>
          <w:rFonts w:ascii="Arial" w:cs="Arial" w:eastAsia="Arial" w:hAnsi="Arial"/>
          <w:sz w:val="17"/>
          <w:szCs w:val="17"/>
          <w:color w:val="231F20"/>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w:t>
      </w:r>
    </w:p>
    <w:p>
      <w:pPr>
        <w:spacing w:after="0" w:line="2"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231F20"/>
        </w:rPr>
        <w:t>When the opinion is favorable, it shall include the draft summary of product characteristics, or SmPC, the package leaflet and the labeling. The time limit for the evaluation procedure is 210 days (excluding clock stops, when additional written or oral information is to be provided by the applicant in response to questions asked by the CHMP).The EMA then has fifteen days to forward its opinion to the European Commission, which will make a binding decision on the grant of an MA within 67 days of the receipt of the CHMP opinion.</w:t>
      </w:r>
    </w:p>
    <w:p>
      <w:pPr>
        <w:spacing w:after="0" w:line="180"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231F20"/>
        </w:rPr>
        <w:t>There are two other procedures in the European Union for the grant of an MA in multiple European Union Member States. The decentralized procedure provides for approval by one or more other, or Concerned, Member States of an assessment of an application performed by one Member State, known as the Reference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rPr>
          <w:sz w:val="20"/>
          <w:szCs w:val="20"/>
          <w:color w:val="auto"/>
        </w:rPr>
      </w:pPr>
      <w:r>
        <w:rPr>
          <w:rFonts w:ascii="Arial" w:cs="Arial" w:eastAsia="Arial" w:hAnsi="Arial"/>
          <w:sz w:val="18"/>
          <w:szCs w:val="18"/>
          <w:color w:val="231F20"/>
        </w:rPr>
        <w:t>Member State. Under this procedure, an applicant submits an application, or dossier, and related materials including a draft SmPC,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w:t>
      </w:r>
    </w:p>
    <w:p>
      <w:pPr>
        <w:spacing w:after="0" w:line="18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criteria for designating an “orphan medicinal product” in the European Union are similar in principle to those in the United States. Under Article 3 of Regulation (EC) 141/2000, a medicinal product may be designated as an orphan medicinal product if it is intended for the diagnosis, prevention, or treatment of a life-threatening or chronically debilitating condition that affects no more than five in 10,000 persons in the European Union. In addition, orphan designation can be granted if the product is intended for a life threatening, seriously debilitating, or serious and chronic condition in the European Union and where, without incentives, it is unlikely that sales of the product in the European Union would be sufficient to justify the necessary investment in its development. Orphan drug designation is only available if there is no other satisfactory method approved in the European Union of diagnosing, preventing, or treating the applicable orphan condition, or if such a method exists, the proposed orphan drug will be of significant benefit to patients affected by such condition, as defined in Regulation (EC) 847/2000.</w:t>
      </w:r>
    </w:p>
    <w:p>
      <w:pPr>
        <w:spacing w:after="0" w:line="18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Orphan designation provides opportunities for fee reductions, protocol assistance and access to the centralized procedure before and during the first year after a marketing authorization. Fee reductions are not limited to the first year after a marketing authorization for small and medium enterprises. In addition, if a product that has an orphan designation subsequently receives a centralized MA for the indication for which it has such designation, the product is entitled to orphan market exclusivity, which means the EMA may not approve any other application to market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the designation criteria are no longer met, including where it is shown that the product is sufficiently profitable not to justify maintenance of market exclusivity. Competitors may receive marketing approval of different drugs or biologics for the indications for which the orphan product has exclusivity. Additionally, an MA may be granted to a similar medicinal product for the same indication at any time if:</w:t>
      </w:r>
    </w:p>
    <w:p>
      <w:pPr>
        <w:spacing w:after="0" w:line="180" w:lineRule="exact"/>
        <w:rPr>
          <w:sz w:val="20"/>
          <w:szCs w:val="20"/>
          <w:color w:val="auto"/>
        </w:rPr>
      </w:pPr>
    </w:p>
    <w:p>
      <w:pPr>
        <w:ind w:left="60" w:right="99" w:hanging="10"/>
        <w:spacing w:after="0" w:line="271" w:lineRule="auto"/>
        <w:tabs>
          <w:tab w:leader="none" w:pos="708"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second applicant can establish that its product, although similar to the authorized orphan product, is safer, more effective or otherwise clinically superior;</w:t>
      </w:r>
    </w:p>
    <w:p>
      <w:pPr>
        <w:spacing w:after="0" w:line="153" w:lineRule="exact"/>
        <w:rPr>
          <w:rFonts w:ascii="Arial" w:cs="Arial" w:eastAsia="Arial" w:hAnsi="Arial"/>
          <w:sz w:val="18"/>
          <w:szCs w:val="18"/>
          <w:color w:val="231F20"/>
        </w:rPr>
      </w:pPr>
    </w:p>
    <w:p>
      <w:pPr>
        <w:ind w:left="700" w:hanging="650"/>
        <w:spacing w:after="0"/>
        <w:tabs>
          <w:tab w:leader="none" w:pos="7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MA holder of the authorized product consents to a second orphan medicinal product application; or</w:t>
      </w:r>
    </w:p>
    <w:p>
      <w:pPr>
        <w:spacing w:after="0" w:line="211" w:lineRule="exact"/>
        <w:rPr>
          <w:rFonts w:ascii="Arial" w:cs="Arial" w:eastAsia="Arial" w:hAnsi="Arial"/>
          <w:sz w:val="18"/>
          <w:szCs w:val="18"/>
          <w:color w:val="231F20"/>
        </w:rPr>
      </w:pPr>
    </w:p>
    <w:p>
      <w:pPr>
        <w:ind w:left="700" w:hanging="650"/>
        <w:spacing w:after="0"/>
        <w:tabs>
          <w:tab w:leader="none" w:pos="7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MA holder of the authorized product cannot supply enough orphan medicinal product.</w:t>
      </w:r>
    </w:p>
    <w:p>
      <w:pPr>
        <w:spacing w:after="0" w:line="21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A pediatric investigation plan, or PIP, in the European Union is aimed at ensuring that the necessary data are obtained to support the authorization of a medicine for children, through studies in children. All applications for MAs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across the European Union with the results of studies from a PIP included in the product information are eligible for an extension of their supplementary protection certificate, or SPC, by six months(provided an application for such extension is made at the same time as filing the SPC application for the product, or at any point up to 2 years before the SPC expires). This is the case even when the studies’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879"/>
        <w:spacing w:after="0" w:line="271" w:lineRule="auto"/>
        <w:rPr>
          <w:sz w:val="20"/>
          <w:szCs w:val="20"/>
          <w:color w:val="auto"/>
        </w:rPr>
      </w:pPr>
      <w:r>
        <w:rPr>
          <w:rFonts w:ascii="Arial" w:cs="Arial" w:eastAsia="Arial" w:hAnsi="Arial"/>
          <w:sz w:val="18"/>
          <w:szCs w:val="18"/>
          <w:color w:val="231F20"/>
        </w:rPr>
        <w:t>results are negative. For orphan medicinal products, the incentive is an additional two years of market exclusivity.</w:t>
      </w:r>
    </w:p>
    <w:p>
      <w:pPr>
        <w:spacing w:after="0" w:line="154"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231F20"/>
        </w:rPr>
        <w:t>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 or PUMA. If a PUMA is granted, the product will benefit from ten years of market protection as an incentive.</w:t>
      </w:r>
    </w:p>
    <w:p>
      <w:pPr>
        <w:spacing w:after="0" w:line="174" w:lineRule="exact"/>
        <w:rPr>
          <w:sz w:val="20"/>
          <w:szCs w:val="20"/>
          <w:color w:val="auto"/>
        </w:rPr>
      </w:pPr>
    </w:p>
    <w:p>
      <w:pPr>
        <w:ind w:left="60" w:right="239"/>
        <w:spacing w:after="0"/>
        <w:rPr>
          <w:sz w:val="20"/>
          <w:szCs w:val="20"/>
          <w:color w:val="auto"/>
        </w:rPr>
      </w:pPr>
      <w:r>
        <w:rPr>
          <w:rFonts w:ascii="Arial" w:cs="Arial" w:eastAsia="Arial" w:hAnsi="Arial"/>
          <w:sz w:val="18"/>
          <w:szCs w:val="18"/>
          <w:color w:val="231F20"/>
        </w:rPr>
        <w:t>In March 2016, the EMA launched an initiative, The PRIority Medicines, or PRIME, scheme, to facilitate development of product candidates in indications, often rare, for which few or no therapies currently exist. The PRIME scheme is intended to encourage development of products in areas of unmet medical need and provides accelerated assessment of products representing substantial innovation reviewed under the centralized procedure.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w:t>
      </w:r>
    </w:p>
    <w:p>
      <w:pPr>
        <w:spacing w:after="0" w:line="180"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231F20"/>
        </w:rPr>
        <w:t>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The aforementioned European Union rules are generally applicable in the EEA.</w:t>
      </w:r>
    </w:p>
    <w:p>
      <w:pPr>
        <w:spacing w:after="0" w:line="21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The United Kingdom left the European Union on January 31, 2020, referred to as Brexit, and the United Kingdom and the European Union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United Kingdom and European Union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continues to apply in Northern Ireland). Except in respect of the new EU Clinical Trials Regulation, the regulatory regime in Great Britain therefore largely aligns with current European Union medicines regulations, however it is possible that these regimes will diverge more significantly in future now that Great Britain’s regulatory system is independent from the European Union and the TCA does not provide for mutual recognition of United Kingdom and European Union pharmaceutical legislation. However, notwithstanding that there is no wholesale recognition of European Union pharmaceutical legislation under the TCA, under the new framework mentioned below which will be put in place by the MHRA from January 1, 2024, the MHRA has stated that it will take into account decisions on the approval of MAs from the EMA (and certain other regulators) when considering an application for a Great Britain MA.</w:t>
      </w:r>
    </w:p>
    <w:p>
      <w:pPr>
        <w:spacing w:after="0" w:line="18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Medicines and Healthcare products Regulatory Agency, or MHRA, the United Kingdom’s medicines regulator, has introduced changes to national licensing procedures, including procedures to prioritize access to new medicines that will benefit patients, an accelerated assessment procedure and new routes of evaluation for novel products and biotechnological products. All existing European Union MAs for centrally authorized products were automatically converted (grandfathered) into United Kingdom MAs free-of-charge on January 1, 2021. For a period of three years from January 1, 2021, the MHRA may rely on a decision taken by the European Commission on the approval of a new MA in the centralized procedure, in order to more quickly grant a new Great Britain MA. A separate application will, however, still be required. On January 24, 2023, the MHRA announced that a new international recognition framework will be put in place from January 1, 2024, which will have regard to decisions on the approval of MAs made by the EMA and certain other regulators when determining an application for a new Great Britain MA.</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231F20"/>
        </w:rPr>
        <w:t>There is now no pre-MA orphan designation in Great Britain. Instead, the MHRA reviews applications for orphan designation in parallel to the corresponding MAA. The criteria are essentially the same, but have been tailored for the Great Britain market, i.e., the prevalence of the condition in Great Britain (rather than the European Union) must not be more than five in 10,000. Should an orphan designation be granted, the period or market exclusivity will be set from the date of first approval of the product in Great Britain or the European Union, wherever is earliest.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Healthcare laws and regulations</w:t>
      </w:r>
    </w:p>
    <w:p>
      <w:pPr>
        <w:spacing w:after="0" w:line="21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231F20"/>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174" w:lineRule="exact"/>
        <w:rPr>
          <w:sz w:val="20"/>
          <w:szCs w:val="20"/>
          <w:color w:val="auto"/>
        </w:rPr>
      </w:pPr>
    </w:p>
    <w:p>
      <w:pPr>
        <w:ind w:left="720" w:right="179" w:hanging="319"/>
        <w:spacing w:after="0" w:line="243" w:lineRule="auto"/>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179" w:lineRule="exact"/>
        <w:rPr>
          <w:rFonts w:ascii="Times New Roman" w:cs="Times New Roman" w:eastAsia="Times New Roman" w:hAnsi="Times New Roman"/>
          <w:sz w:val="18"/>
          <w:szCs w:val="18"/>
          <w:color w:val="231F20"/>
        </w:rPr>
      </w:pPr>
    </w:p>
    <w:p>
      <w:pPr>
        <w:jc w:val="both"/>
        <w:ind w:left="720" w:right="379" w:hanging="319"/>
        <w:spacing w:after="0" w:line="246" w:lineRule="auto"/>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176" w:lineRule="exact"/>
        <w:rPr>
          <w:rFonts w:ascii="Times New Roman" w:cs="Times New Roman" w:eastAsia="Times New Roman" w:hAnsi="Times New Roman"/>
          <w:sz w:val="18"/>
          <w:szCs w:val="18"/>
          <w:color w:val="231F20"/>
        </w:rPr>
      </w:pPr>
    </w:p>
    <w:p>
      <w:pPr>
        <w:ind w:left="720" w:right="299" w:hanging="319"/>
        <w:spacing w:after="0" w:line="243" w:lineRule="auto"/>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179" w:lineRule="exact"/>
        <w:rPr>
          <w:rFonts w:ascii="Times New Roman" w:cs="Times New Roman" w:eastAsia="Times New Roman" w:hAnsi="Times New Roman"/>
          <w:sz w:val="18"/>
          <w:szCs w:val="18"/>
          <w:color w:val="231F20"/>
        </w:rPr>
      </w:pPr>
    </w:p>
    <w:p>
      <w:pPr>
        <w:ind w:left="720" w:right="119" w:hanging="319"/>
        <w:spacing w:after="0" w:line="246" w:lineRule="auto"/>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HIPAA, as amended by the Health Information Technology for Economic and Clinical Health Act of 2009 and their implementing regulations, impose obligations on certain types of individuals and entities regarding the electronic exchange of information in common healthcare transactions, as well as standards relating to the privacy and security of individually identifiable health information;</w:t>
      </w:r>
    </w:p>
    <w:p>
      <w:pPr>
        <w:spacing w:after="0" w:line="176" w:lineRule="exact"/>
        <w:rPr>
          <w:rFonts w:ascii="Times New Roman" w:cs="Times New Roman" w:eastAsia="Times New Roman" w:hAnsi="Times New Roman"/>
          <w:sz w:val="18"/>
          <w:szCs w:val="18"/>
          <w:color w:val="231F20"/>
        </w:rPr>
      </w:pPr>
    </w:p>
    <w:p>
      <w:pPr>
        <w:ind w:left="720" w:right="259" w:hanging="319"/>
        <w:spacing w:after="0" w:line="239" w:lineRule="auto"/>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and Medicaid Services, or CMS, information related to payments or other transfers of value made to physicians and teaching hospitals, nurse practitioners, clinical nurse specialists, certified registered nurse anesthetists, anesthesiologist assistants, certified nurse-midwives, and physician assistants, as well as ownership and investment interests held by physicians and their immediate family members; and</w:t>
      </w:r>
    </w:p>
    <w:p>
      <w:pPr>
        <w:spacing w:after="0" w:line="186" w:lineRule="exact"/>
        <w:rPr>
          <w:rFonts w:ascii="Times New Roman" w:cs="Times New Roman" w:eastAsia="Times New Roman" w:hAnsi="Times New Roman"/>
          <w:sz w:val="18"/>
          <w:szCs w:val="18"/>
          <w:color w:val="231F20"/>
        </w:rPr>
      </w:pPr>
    </w:p>
    <w:p>
      <w:pPr>
        <w:ind w:left="720" w:right="119" w:hanging="319"/>
        <w:spacing w:after="0" w:line="266" w:lineRule="auto"/>
        <w:tabs>
          <w:tab w:leader="none" w:pos="720" w:val="left"/>
        </w:tabs>
        <w:numPr>
          <w:ilvl w:val="0"/>
          <w:numId w:val="17"/>
        </w:numPr>
        <w:rPr>
          <w:rFonts w:ascii="Times New Roman" w:cs="Times New Roman" w:eastAsia="Times New Roman" w:hAnsi="Times New Roman"/>
          <w:sz w:val="17"/>
          <w:szCs w:val="17"/>
          <w:color w:val="231F20"/>
        </w:rPr>
      </w:pPr>
      <w:r>
        <w:rPr>
          <w:rFonts w:ascii="Arial" w:cs="Arial" w:eastAsia="Arial" w:hAnsi="Arial"/>
          <w:sz w:val="17"/>
          <w:szCs w:val="17"/>
          <w:color w:val="231F20"/>
        </w:rPr>
        <w:t>The Foreign Corrupt Practices Act, or FCPA prohibits United States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5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231F20"/>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231F20"/>
        </w:rPr>
        <w:t>companies to comply with the federal government’s and/or pharmaceutical industry’s voluntary compliance guidelines,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Healthcare Reform</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the United States Congress, or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18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The Patient Protection and Affordable Care Act, as amended by the Health Care and Education Affordability Reconciliation Act, or collectively the Affordable Care Act, substantially changed the way healthcare is financed by both governmental and private insurers, and significantly impacts the pharmaceutical industry. The Affordable Care Act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Affordable Care Act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 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Affordable Care Act. These regulations became effective on April 1, 2016. The Tax Cuts and Jobs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18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231F20"/>
        </w:rPr>
        <w:t>Other legislative changes have been proposed and adopted since passage of the Affordable Care Act.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 per fiscal year, which went into effect in April 2013. Subsequent litigation extended the 2% reduction, on average, to 2030. However, pursuant to the Coronavirus Aid, Relief and Economic Security Act, or CARES Act, the 2% Medicare sequester reductions have been suspended from May 1, 2020 through March 31, 2022 due to the COVID-19 pandemic. Following the suspension, a 1% payment reduction began April 1, 2022, and remained through</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231F20"/>
        </w:rPr>
        <w:t>June 30, 2022. The 2% payment reduction resumed on July 1, 2022.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74"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231F20"/>
        </w:rPr>
        <w:t>Further legislative and regulatory changes under the Affordable Care Act remain possible. It is unknown what form any such changes or any law would take, and how or whether it may affect our business in the future. We expect that changes or additions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179" w:lineRule="exact"/>
        <w:rPr>
          <w:sz w:val="20"/>
          <w:szCs w:val="20"/>
          <w:color w:val="auto"/>
        </w:rPr>
      </w:pPr>
    </w:p>
    <w:p>
      <w:pPr>
        <w:ind w:left="60" w:right="219"/>
        <w:spacing w:after="0"/>
        <w:rPr>
          <w:sz w:val="20"/>
          <w:szCs w:val="20"/>
          <w:color w:val="auto"/>
        </w:rPr>
      </w:pPr>
      <w:r>
        <w:rPr>
          <w:rFonts w:ascii="Arial" w:cs="Arial" w:eastAsia="Arial" w:hAnsi="Arial"/>
          <w:sz w:val="18"/>
          <w:szCs w:val="18"/>
          <w:color w:val="231F20"/>
        </w:rPr>
        <w:t>The Affordable Care Act has been subject to challenges in the courts. On December 14, 2018, a Texas U.S. District Court Judge ruled that the Affordable Care Act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Affordable Care Act. An appeal was taken to the U.S. Supreme Court. The Supreme Court ruled that the plaintiffs lacked standing to challenge the law as they had not alleged personal injury traceable to the allegedly unlawful conduct. As a result, the Supreme Court did not rule on the constitutionality of the ACA or any of its provisions.</w:t>
      </w:r>
    </w:p>
    <w:p>
      <w:pPr>
        <w:spacing w:after="0" w:line="180"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231F20"/>
        </w:rPr>
        <w:t>The Affordable Care Act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or the BBA, among other things, amended the Affordable Care Act, effective January 1, 2019, to close the coverage gap in most Medicare drug plans, commonly referred to as the “donut hole,” by increasing from 50 percent to 70 percent the point-of-sale discount that is owed by pharmaceutical manufacturers who participate in Medicare Part D.</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The Affordable Care Act also expanded the Public Health Service’s 340B drug pricing program. The 340B drug pricing program requires participating manufacturers to agree to charge statutorily-defined covered entities no more than the 340B “ceiling price” for the manufacturer’s covered outpatient drugs. The Affordable Care Act expanded the 340B program to include additional types of covered entities: certain free-standing cancer hospitals, critical access hospitals, rural referral centers and sole community hospitals, each as defined by the Affordable Care Act. Because the 340B ceiling price is determined based on the average manufacturer price, or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188"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231F20"/>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Human capital resources</w:t>
      </w:r>
    </w:p>
    <w:p>
      <w:pPr>
        <w:spacing w:after="0" w:line="20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231F20"/>
        </w:rPr>
        <w:t>As of March 2, 2023, we had 163 full-time employees and 21 part-time employees. Of our 184 full and part-time employees, 151 are engaged in research and development activities. We consider our relationship with our employees to be good.</w:t>
      </w:r>
    </w:p>
    <w:p>
      <w:pPr>
        <w:spacing w:after="0" w:line="142" w:lineRule="exact"/>
        <w:rPr>
          <w:sz w:val="20"/>
          <w:szCs w:val="20"/>
          <w:color w:val="auto"/>
        </w:rPr>
      </w:pPr>
    </w:p>
    <w:p>
      <w:pPr>
        <w:ind w:left="60" w:right="59"/>
        <w:spacing w:after="0"/>
        <w:rPr>
          <w:sz w:val="20"/>
          <w:szCs w:val="20"/>
          <w:color w:val="auto"/>
        </w:rPr>
      </w:pPr>
      <w:r>
        <w:rPr>
          <w:rFonts w:ascii="Arial" w:cs="Arial" w:eastAsia="Arial" w:hAnsi="Arial"/>
          <w:sz w:val="18"/>
          <w:szCs w:val="18"/>
          <w:color w:val="231F20"/>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 We regularly evaluate our compensation programs with an independent compensation consultant and utilize industry benchmarking in an effort to ensure competitiveness compared to similar biotechnology and biopharmaceutical companies with which we compete for talent, as well as fair and equitable treatment across our workforce with respect to gender, race, and other personal characteristics.</w:t>
      </w:r>
    </w:p>
    <w:p>
      <w:pPr>
        <w:spacing w:after="0" w:line="167"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231F20"/>
        </w:rPr>
        <w:t>We are an equal opportunity employer and we maintain policies that prohibit unlawful discrimination based on race, color, religion, gender, sexual orientation, gender identity/expression, national origin/ancestry, age, disability, marital and veteran status. Our employees are not part of any collective bargaining agreements and we believe that we have good relations with our employees.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Facilities</w:t>
      </w:r>
    </w:p>
    <w:p>
      <w:pPr>
        <w:spacing w:after="0" w:line="187"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Our principal executive offices are located in Philadelphia, Pennsylvania, pursuant to a short-term lease. We operate in three laboratory spaces in Philadelphia pursuant to leases that expire in December 2030, October 2031 and February 2034. Additionally, we lease office and laboratory space in Seattle, Washington pursuant to leases expiring in September 2030, respectively and laboratory and office space in Hamilton, Ontario, pursuant to a lease that expires in October 2025. We have finished construction and the operational fit out of a 53,000 square foot cell therapy manufacturing facility on a tract of land in Branchburg, New Jersey pursuant to a lease expiring in February 2037. We believe that our current facilities are adequate to meet our ongoing needs, and that, if we require additional space, we will be able to obtain additional facilities on commercially reasonable terms.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Legal proceedings</w:t>
      </w:r>
    </w:p>
    <w:p>
      <w:pPr>
        <w:spacing w:after="0" w:line="198"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231F20"/>
        </w:rPr>
        <w:t>We are not currently a party to any material legal proceedings. From time to time, we may become involved in other litigation or legal proceedings relating to claims arising from the ordinary course of business.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Available Information</w:t>
      </w:r>
    </w:p>
    <w:p>
      <w:pPr>
        <w:spacing w:after="0" w:line="198"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website address is www.centurytx.com. Our Annual Report on Form 10-K, quarterly reports on Form 10-Q, current reports on Form 8-K, any amendments to those reports, proxy and registration statements filed or furnished with the Securities and Exchange Commission, or SEC, are available free of charge through our website. We make these materials available through our website as soon as reasonably practicable after we electronically file such materials with, or furnish such materials to, the SEC. The reports filed with the SEC by our executive officers and directors pursuant to Section 16 under the Exchange Act are also made available, free of charge on our website, as soon as reasonably practicable after copies of those filings are provided to us by those persons. These materials can be accessed through the “Investors-Financial Information” section of our website. The information contained in, or that can be accessed through, our website is not part of this Annual Report on Form 10-K.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 Summary</w:t>
      </w:r>
    </w:p>
    <w:p>
      <w:pPr>
        <w:spacing w:after="0" w:line="212"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“Cautionary Note Regarding Forward-Looking Statements” and “Risk Factors” in this Annual Report on Form 10-K. The below summary is qualified in its entirety by those more complete discussions of such risks and uncertainties.</w:t>
      </w:r>
    </w:p>
    <w:p>
      <w:pPr>
        <w:spacing w:after="0" w:line="179" w:lineRule="exact"/>
        <w:rPr>
          <w:sz w:val="20"/>
          <w:szCs w:val="20"/>
          <w:color w:val="auto"/>
        </w:rPr>
      </w:pPr>
    </w:p>
    <w:p>
      <w:pPr>
        <w:ind w:left="60" w:right="159" w:hanging="10"/>
        <w:spacing w:after="0" w:line="271"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losses since our inception, and anticipate that we will continue to incur significant losses in the foreseeable future;</w:t>
      </w:r>
    </w:p>
    <w:p>
      <w:pPr>
        <w:spacing w:after="0" w:line="153" w:lineRule="exact"/>
        <w:rPr>
          <w:rFonts w:ascii="Arial" w:cs="Arial" w:eastAsia="Arial" w:hAnsi="Arial"/>
          <w:sz w:val="18"/>
          <w:szCs w:val="18"/>
          <w:color w:val="auto"/>
        </w:rPr>
      </w:pPr>
    </w:p>
    <w:p>
      <w:pPr>
        <w:ind w:left="700" w:hanging="650"/>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achieve or maintain profitability;</w:t>
      </w:r>
    </w:p>
    <w:p>
      <w:pPr>
        <w:spacing w:after="0" w:line="211" w:lineRule="exact"/>
        <w:rPr>
          <w:rFonts w:ascii="Arial" w:cs="Arial" w:eastAsia="Arial" w:hAnsi="Arial"/>
          <w:sz w:val="18"/>
          <w:szCs w:val="18"/>
          <w:color w:val="auto"/>
        </w:rPr>
      </w:pPr>
    </w:p>
    <w:p>
      <w:pPr>
        <w:jc w:val="both"/>
        <w:ind w:left="60" w:right="299" w:hanging="10"/>
        <w:spacing w:after="0" w:line="253"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early in our development efforts and our business is dependent on our ability to advance our current and future product candidates through preclinical studies and clinical trials, obtain marketing approval and ultimately commercialize our current and future product candidates;</w:t>
      </w:r>
    </w:p>
    <w:p>
      <w:pPr>
        <w:spacing w:after="0" w:line="168" w:lineRule="exact"/>
        <w:rPr>
          <w:rFonts w:ascii="Arial" w:cs="Arial" w:eastAsia="Arial" w:hAnsi="Arial"/>
          <w:sz w:val="18"/>
          <w:szCs w:val="18"/>
          <w:color w:val="auto"/>
        </w:rPr>
      </w:pPr>
    </w:p>
    <w:p>
      <w:pPr>
        <w:ind w:left="60" w:right="279" w:hanging="10"/>
        <w:spacing w:after="0" w:line="271"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highly dependent on the success of our lead product candidate, CNTY-101, which is currently undergoing a phase I clinical trial, and our other product candidates;</w:t>
      </w:r>
    </w:p>
    <w:p>
      <w:pPr>
        <w:spacing w:after="0" w:line="153" w:lineRule="exact"/>
        <w:rPr>
          <w:rFonts w:ascii="Arial" w:cs="Arial" w:eastAsia="Arial" w:hAnsi="Arial"/>
          <w:sz w:val="18"/>
          <w:szCs w:val="18"/>
          <w:color w:val="auto"/>
        </w:rPr>
      </w:pPr>
    </w:p>
    <w:p>
      <w:pPr>
        <w:ind w:left="60" w:right="259" w:hanging="10"/>
        <w:spacing w:after="0" w:line="301" w:lineRule="auto"/>
        <w:tabs>
          <w:tab w:leader="none" w:pos="708"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are highly dependent on our strategic relationships and collaborations and any termination or loss of significant rights under such arrangements with our strategic partners could seriously harm our business;</w:t>
      </w:r>
    </w:p>
    <w:p>
      <w:pPr>
        <w:spacing w:after="0" w:line="130" w:lineRule="exact"/>
        <w:rPr>
          <w:rFonts w:ascii="Arial" w:cs="Arial" w:eastAsia="Arial" w:hAnsi="Arial"/>
          <w:sz w:val="17"/>
          <w:szCs w:val="17"/>
          <w:color w:val="auto"/>
        </w:rPr>
      </w:pPr>
    </w:p>
    <w:p>
      <w:pPr>
        <w:ind w:left="60" w:right="259" w:hanging="10"/>
        <w:spacing w:after="0" w:line="301" w:lineRule="auto"/>
        <w:tabs>
          <w:tab w:leader="none" w:pos="70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COVID-19 pandemic, or a similar global health crisis may materially and adversely affect our business and our financial results and could cause a disruption to the development of our product candidates;</w:t>
      </w:r>
    </w:p>
    <w:p>
      <w:pPr>
        <w:spacing w:after="0" w:line="130" w:lineRule="exact"/>
        <w:rPr>
          <w:rFonts w:ascii="Arial" w:cs="Arial" w:eastAsia="Arial" w:hAnsi="Arial"/>
          <w:sz w:val="17"/>
          <w:szCs w:val="17"/>
          <w:color w:val="auto"/>
        </w:rPr>
      </w:pPr>
    </w:p>
    <w:p>
      <w:pPr>
        <w:ind w:left="60" w:right="159" w:hanging="10"/>
        <w:spacing w:after="0" w:line="253"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Utilizing CAR-iNK and CAR-iT cells represents a novel approach to immuno-oncology treatment of cancer, and we must overcome significant challenges in order to develop, commercialize, and manufacture our product candidates;</w:t>
      </w:r>
    </w:p>
    <w:p>
      <w:pPr>
        <w:spacing w:after="0" w:line="168" w:lineRule="exact"/>
        <w:rPr>
          <w:rFonts w:ascii="Arial" w:cs="Arial" w:eastAsia="Arial" w:hAnsi="Arial"/>
          <w:sz w:val="18"/>
          <w:szCs w:val="18"/>
          <w:color w:val="auto"/>
        </w:rPr>
      </w:pPr>
    </w:p>
    <w:p>
      <w:pPr>
        <w:ind w:left="60" w:right="99" w:hanging="10"/>
        <w:spacing w:after="0" w:line="253"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168" w:lineRule="exact"/>
        <w:rPr>
          <w:rFonts w:ascii="Arial" w:cs="Arial" w:eastAsia="Arial" w:hAnsi="Arial"/>
          <w:sz w:val="18"/>
          <w:szCs w:val="18"/>
          <w:color w:val="auto"/>
        </w:rPr>
      </w:pPr>
    </w:p>
    <w:p>
      <w:pPr>
        <w:ind w:left="60" w:right="559" w:hanging="10"/>
        <w:spacing w:after="0" w:line="247"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173" w:lineRule="exact"/>
        <w:rPr>
          <w:rFonts w:ascii="Arial" w:cs="Arial" w:eastAsia="Arial" w:hAnsi="Arial"/>
          <w:sz w:val="18"/>
          <w:szCs w:val="18"/>
          <w:color w:val="auto"/>
        </w:rPr>
      </w:pPr>
    </w:p>
    <w:p>
      <w:pPr>
        <w:ind w:left="60" w:right="99" w:hanging="10"/>
        <w:spacing w:after="0" w:line="247"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an organization, we have limited experience designing or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173" w:lineRule="exact"/>
        <w:rPr>
          <w:rFonts w:ascii="Arial" w:cs="Arial" w:eastAsia="Arial" w:hAnsi="Arial"/>
          <w:sz w:val="18"/>
          <w:szCs w:val="18"/>
          <w:color w:val="auto"/>
        </w:rPr>
      </w:pPr>
    </w:p>
    <w:p>
      <w:pPr>
        <w:ind w:left="60" w:right="119" w:hanging="10"/>
        <w:spacing w:after="0" w:line="271"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manufacture and distribution of our iPSC-derived cell product candidates is complex and subject to a multitude of risks;</w:t>
      </w:r>
    </w:p>
    <w:p>
      <w:pPr>
        <w:spacing w:after="0" w:line="153" w:lineRule="exact"/>
        <w:rPr>
          <w:rFonts w:ascii="Arial" w:cs="Arial" w:eastAsia="Arial" w:hAnsi="Arial"/>
          <w:sz w:val="18"/>
          <w:szCs w:val="18"/>
          <w:color w:val="auto"/>
        </w:rPr>
      </w:pPr>
    </w:p>
    <w:p>
      <w:pPr>
        <w:ind w:left="60" w:right="299" w:hanging="10"/>
        <w:spacing w:after="0" w:line="253"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currently utilize our own manufacturing facility as well third parties for the manufacture of our product candidates for development. Operational issues with our own facility or with third party facilities could delay our development plans and thereby limit our ability to generate revenue;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hanging="10"/>
        <w:spacing w:after="0" w:line="247" w:lineRule="auto"/>
        <w:tabs>
          <w:tab w:leader="none" w:pos="7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become dependent on Bristol-Myers Squibb Company, or Bristol-Myers Squibb, for development and commercialization activities with respect to certain of our product candidates pursuant to our collaboration with Bristol-Myers Squibb and cannot control whether Bristol-Myers Squibb will devote sufficient attention or resources to this collaboration or proceed in an expeditious manner;</w:t>
      </w:r>
    </w:p>
    <w:p>
      <w:pPr>
        <w:spacing w:after="0" w:line="173" w:lineRule="exact"/>
        <w:rPr>
          <w:rFonts w:ascii="Arial" w:cs="Arial" w:eastAsia="Arial" w:hAnsi="Arial"/>
          <w:sz w:val="18"/>
          <w:szCs w:val="18"/>
          <w:color w:val="auto"/>
        </w:rPr>
      </w:pPr>
    </w:p>
    <w:p>
      <w:pPr>
        <w:ind w:left="60" w:right="379" w:hanging="10"/>
        <w:spacing w:after="0" w:line="253" w:lineRule="auto"/>
        <w:tabs>
          <w:tab w:leader="none" w:pos="7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successfully commercialize CNTY-101 or any of our other product candidates for which we receive regulatory approval, or experience significant delays in doing so, our business will be materially harmed;</w:t>
      </w:r>
    </w:p>
    <w:p>
      <w:pPr>
        <w:spacing w:after="0" w:line="168" w:lineRule="exact"/>
        <w:rPr>
          <w:rFonts w:ascii="Arial" w:cs="Arial" w:eastAsia="Arial" w:hAnsi="Arial"/>
          <w:sz w:val="18"/>
          <w:szCs w:val="18"/>
          <w:color w:val="auto"/>
        </w:rPr>
      </w:pPr>
    </w:p>
    <w:p>
      <w:pPr>
        <w:ind w:left="60" w:right="319" w:hanging="10"/>
        <w:spacing w:after="0" w:line="253" w:lineRule="auto"/>
        <w:tabs>
          <w:tab w:leader="none" w:pos="7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68" w:lineRule="exact"/>
        <w:rPr>
          <w:rFonts w:ascii="Arial" w:cs="Arial" w:eastAsia="Arial" w:hAnsi="Arial"/>
          <w:sz w:val="18"/>
          <w:szCs w:val="18"/>
          <w:color w:val="auto"/>
        </w:rPr>
      </w:pPr>
    </w:p>
    <w:p>
      <w:pPr>
        <w:ind w:left="60" w:right="439" w:hanging="10"/>
        <w:spacing w:after="0" w:line="271" w:lineRule="auto"/>
        <w:tabs>
          <w:tab w:leader="none" w:pos="7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face difficulties in obtaining, protecting, maintaining, and enforcing our intellectual property rights, including intellectual property rights that are licensed to us;</w:t>
      </w:r>
    </w:p>
    <w:p>
      <w:pPr>
        <w:spacing w:after="0" w:line="153" w:lineRule="exact"/>
        <w:rPr>
          <w:rFonts w:ascii="Arial" w:cs="Arial" w:eastAsia="Arial" w:hAnsi="Arial"/>
          <w:sz w:val="18"/>
          <w:szCs w:val="18"/>
          <w:color w:val="auto"/>
        </w:rPr>
      </w:pPr>
    </w:p>
    <w:p>
      <w:pPr>
        <w:ind w:left="700" w:hanging="650"/>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do not currently own any issued patents relating to our product candidates;</w:t>
      </w:r>
    </w:p>
    <w:p>
      <w:pPr>
        <w:spacing w:after="0" w:line="211" w:lineRule="exact"/>
        <w:rPr>
          <w:rFonts w:ascii="Arial" w:cs="Arial" w:eastAsia="Arial" w:hAnsi="Arial"/>
          <w:sz w:val="18"/>
          <w:szCs w:val="18"/>
          <w:color w:val="auto"/>
        </w:rPr>
      </w:pPr>
    </w:p>
    <w:p>
      <w:pPr>
        <w:ind w:left="60" w:right="439" w:hanging="10"/>
        <w:spacing w:after="0" w:line="271" w:lineRule="auto"/>
        <w:tabs>
          <w:tab w:leader="none" w:pos="7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Unstable market and economic conditions, including inflation and political unrest, may have serious adverse consequences on our business, financial condition, and stock price;</w:t>
      </w:r>
    </w:p>
    <w:p>
      <w:pPr>
        <w:spacing w:after="0" w:line="153" w:lineRule="exact"/>
        <w:rPr>
          <w:rFonts w:ascii="Arial" w:cs="Arial" w:eastAsia="Arial" w:hAnsi="Arial"/>
          <w:sz w:val="18"/>
          <w:szCs w:val="18"/>
          <w:color w:val="auto"/>
        </w:rPr>
      </w:pPr>
    </w:p>
    <w:p>
      <w:pPr>
        <w:ind w:left="60" w:right="459" w:hanging="10"/>
        <w:spacing w:after="0" w:line="271" w:lineRule="auto"/>
        <w:tabs>
          <w:tab w:leader="none" w:pos="7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could be highly volatile, and purchasers of our common stock could incur substantial losses; and</w:t>
      </w:r>
    </w:p>
    <w:p>
      <w:pPr>
        <w:spacing w:after="0" w:line="153" w:lineRule="exact"/>
        <w:rPr>
          <w:rFonts w:ascii="Arial" w:cs="Arial" w:eastAsia="Arial" w:hAnsi="Arial"/>
          <w:sz w:val="18"/>
          <w:szCs w:val="18"/>
          <w:color w:val="auto"/>
        </w:rPr>
      </w:pPr>
    </w:p>
    <w:p>
      <w:pPr>
        <w:jc w:val="both"/>
        <w:ind w:left="60" w:right="319" w:hanging="10"/>
        <w:spacing w:after="0" w:line="253" w:lineRule="auto"/>
        <w:tabs>
          <w:tab w:leader="none" w:pos="7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executive officers, directors, principal stockholders, and affiliates continue to exercise significant control over our company, which limits the ability of our other stockholders to influence corporate matters and could delay or prevent a change in corporate control.</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14" w:lineRule="exact"/>
        <w:rPr>
          <w:sz w:val="20"/>
          <w:szCs w:val="20"/>
          <w:color w:val="auto"/>
        </w:rPr>
      </w:pPr>
    </w:p>
    <w:p>
      <w:pPr>
        <w:ind w:left="60" w:right="379"/>
        <w:spacing w:after="0" w:line="278"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3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are an early stage biopharmaceutical company with a limited operating history. Our operations to date have been limited raising capital, conducting discovery and research activities, filing patent applications, identifying potential product candidates, undertaking preclinical studies, in-licensing intellectual property, establishing manufacturing processes and initiating a phase I clinical trial. All but one of our product candidates are still in the discovery and preclinical testing phase, and in February 2023, we began dosing patients in our first phase I clinical trial, ELiPSE-1, evaluating CNTY-101. We have not yet demonstrated our ability to successfully complete a clinical trial, or submit a biologics license application, or BLA, for a product candidate, obtain regulatory approval for any product candidate, manufacture a product at a commercial-scale or arrange for a third party to do so on our behalf, or conduct sales, marketing, and distribution activities necessary for successful product commercialization. Consequently, any assumptions you make about our future success or viability may not be as informed as they could be if we had a longer operating history.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79"/>
        <w:spacing w:after="0" w:line="278"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expect to incur significant losses for the foreseeable future.</w:t>
      </w:r>
    </w:p>
    <w:p>
      <w:pPr>
        <w:spacing w:after="0" w:line="139"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We have incurred significant operating losses since our inception. If our product candidates are not successfully developed and approved, we may never generate any revenue. Our net losses for the years ended December 31, 2022 and 2021 were $130.9 million and $95.8 million, respectively. As of December 31, 2022, we had an accumulated deficit of $519.1 million.</w:t>
      </w:r>
    </w:p>
    <w:p>
      <w:pPr>
        <w:spacing w:after="0" w:line="174"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Substantially all of our losses have resulted from expenses incurred in connection with our research and development programs, the preparation and inception of our phase I clinical trial, ELiPSE-1, the acquisition of IPR&amp;D and from general and administrative costs associated with our operations. All of our product candidates will require the expenditure of substantial additional development time and resources before we would be able to apply for or receive regulatory approvals and begin realizing product sales. We expect to continue to incur losses for the foreseeable future, and we anticipate these losses will increase as we continue our development of, seek regulatory approval for, and potentially commercialize any of our product candidates and seek to identify, assess, acquire, in-license, or develop additional product candidates. Our prior losses, combined with expected future losses, have had and will continue to have a negative effect on our stockholders’ deficit and working capital.</w:t>
      </w:r>
    </w:p>
    <w:p>
      <w:pPr>
        <w:spacing w:after="0" w:line="180"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We expect that it will be several years, if ever, before we have a commercialized product. We anticipate that our expenses will increase substantially if, and as, we:</w:t>
      </w:r>
    </w:p>
    <w:p>
      <w:pPr>
        <w:spacing w:after="0" w:line="154" w:lineRule="exact"/>
        <w:rPr>
          <w:sz w:val="20"/>
          <w:szCs w:val="20"/>
          <w:color w:val="auto"/>
        </w:rPr>
      </w:pPr>
    </w:p>
    <w:p>
      <w:pPr>
        <w:ind w:left="1340" w:hanging="642"/>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advance our induced pluripotent stem cells, or iPSC-derived allogeneic, cell therapy</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platforms;</w:t>
      </w:r>
    </w:p>
    <w:p>
      <w:pPr>
        <w:spacing w:after="0" w:line="193" w:lineRule="exact"/>
        <w:rPr>
          <w:rFonts w:ascii="Arial" w:cs="Arial" w:eastAsia="Arial" w:hAnsi="Arial"/>
          <w:sz w:val="18"/>
          <w:szCs w:val="18"/>
          <w:color w:val="auto"/>
        </w:rPr>
      </w:pPr>
    </w:p>
    <w:p>
      <w:pPr>
        <w:ind w:left="60" w:right="219" w:firstLine="638"/>
        <w:spacing w:after="0" w:line="271" w:lineRule="auto"/>
        <w:tabs>
          <w:tab w:leader="none" w:pos="13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clinical development of CNTY-101 and the preclinical and clinical development of our other product candidates;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and validate our own clinical-scale current good manufacturing practices, or cGMP,</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facilities;</w:t>
      </w:r>
    </w:p>
    <w:p>
      <w:pPr>
        <w:spacing w:after="0" w:line="193" w:lineRule="exact"/>
        <w:rPr>
          <w:rFonts w:ascii="Arial" w:cs="Arial" w:eastAsia="Arial" w:hAnsi="Arial"/>
          <w:sz w:val="18"/>
          <w:szCs w:val="18"/>
          <w:color w:val="auto"/>
        </w:rPr>
      </w:pPr>
    </w:p>
    <w:p>
      <w:pPr>
        <w:ind w:left="1340" w:hanging="642"/>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approvals for any of our other product candidates that successfully complete</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clinical trials;</w:t>
      </w:r>
    </w:p>
    <w:p>
      <w:pPr>
        <w:spacing w:after="0" w:line="193" w:lineRule="exact"/>
        <w:rPr>
          <w:rFonts w:ascii="Arial" w:cs="Arial" w:eastAsia="Arial" w:hAnsi="Arial"/>
          <w:sz w:val="18"/>
          <w:szCs w:val="18"/>
          <w:color w:val="auto"/>
        </w:rPr>
      </w:pPr>
    </w:p>
    <w:p>
      <w:pPr>
        <w:ind w:left="1340" w:hanging="642"/>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11" w:lineRule="exact"/>
        <w:rPr>
          <w:rFonts w:ascii="Arial" w:cs="Arial" w:eastAsia="Arial" w:hAnsi="Arial"/>
          <w:sz w:val="18"/>
          <w:szCs w:val="18"/>
          <w:color w:val="auto"/>
        </w:rPr>
      </w:pPr>
    </w:p>
    <w:p>
      <w:pPr>
        <w:ind w:left="60" w:right="519" w:firstLine="638"/>
        <w:spacing w:after="0" w:line="253" w:lineRule="auto"/>
        <w:tabs>
          <w:tab w:leader="none" w:pos="13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 such as operational, financial, and management information systems and personnel, including personnel to support our drug development, any future commercialization efforts; and</w:t>
      </w:r>
    </w:p>
    <w:p>
      <w:pPr>
        <w:spacing w:after="0" w:line="168" w:lineRule="exact"/>
        <w:rPr>
          <w:rFonts w:ascii="Arial" w:cs="Arial" w:eastAsia="Arial" w:hAnsi="Arial"/>
          <w:sz w:val="18"/>
          <w:szCs w:val="18"/>
          <w:color w:val="auto"/>
        </w:rPr>
      </w:pPr>
    </w:p>
    <w:p>
      <w:pPr>
        <w:ind w:left="1340" w:hanging="642"/>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may never succeed in any or all of these activities and, even if we do, we may never generate revenue.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color w:val="auto"/>
        </w:rPr>
        <w:t>We have one product candidate in clinical development and no product candidates approved for commercial sale and have not generated any revenue. To become and remain profitable, we must develop and eventually commercialize product candidates with significant market potential, which will require us to be successful in a range of challenging activities. These activities can include completing preclinical studies and initiating and completing clinical trials of our product candidates, obtaining marketing approval for these product candidates, manufacturing, marketing, and selling those products that are approved and satisfying any post-marketing requirements. We may never succeed in any or all of these activities and, even if we do, we may never generate sufficient revenues to achieve profitability. Because of the numerous risks and uncertainties associated with biologics product development, we are unable to accurately predict the timing or amount of increased expenses or when, or if, we will be able to achieve profitability.</w:t>
      </w:r>
    </w:p>
    <w:p>
      <w:pPr>
        <w:spacing w:after="0" w:line="180"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Even if we do achieve profitability, we may not be able to sustain or increase profitability. Our failure to become and remain profitable would decrease the value of our company and could impair our ability to raise capital, maintain our research and development efforts, expand our business, or continue our operations.</w:t>
      </w:r>
    </w:p>
    <w:p>
      <w:pPr>
        <w:spacing w:after="0" w:line="171"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5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preclinical activities and clinical trials of, and seek regulatory and marketing approval for, our product candidates. Even if one or more of our product candidates is approved for commercial sale, we anticipate incurring significant costs associated with commercializing any approved product candidate. We have financed our operations primarily through private placements of our securities and our initial public offering of common stock, or IPO, which closed in June 2021. Our research and development expenses increased from $75.7 million for the year ended December 31, 2021 to $97.2 million for the year ended December 31, 2022. As of December 31, 2022, we had cash, and cash equivalents of $84.3 million and investments of $283.1 million. Based on our research and development plans, we believe our existing cash, cash equivalents and investments will be sufficient to fund our operating expenses and capital expenditures requirements into 2026.</w:t>
      </w:r>
    </w:p>
    <w:p>
      <w:pPr>
        <w:spacing w:after="0" w:line="180"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Attempting to secure additional financing will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and we may need to seek additional funds sooner than planned. If we are unable to obtain funding on a timely basis or at all, we may be required to significantly curtail or stop one or more of our research or development programs.</w:t>
      </w:r>
    </w:p>
    <w:p>
      <w:pPr>
        <w:spacing w:after="0" w:line="181" w:lineRule="exact"/>
        <w:rPr>
          <w:sz w:val="20"/>
          <w:szCs w:val="20"/>
          <w:color w:val="auto"/>
        </w:rPr>
      </w:pPr>
    </w:p>
    <w:p>
      <w:pPr>
        <w:ind w:left="60" w:right="239"/>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inflation, pandemics, political unrest and hostilities,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In July 2022, we entered into a sales agreement with Cowen and Company, LLC, or Cowen, pursuant to which we may offer and sell shares of our common stock having an aggregate offering price of up to $ 150 million from time to time through Cowen acting as our sales agent, or the 2022 ATM Facility. There have been no sales of shares of our common stock under the 2022 ATM Facility through the date of the filing of this Annual Report on Form 10-K.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and impede our ability to conduct our business. Furthermore, the issuance of additional securities, whether equity or debt, by us, or the possibility of such issuance, may cause the market price of our common stock to decline.</w:t>
      </w:r>
    </w:p>
    <w:p>
      <w:pPr>
        <w:spacing w:after="0" w:line="182" w:lineRule="exact"/>
        <w:rPr>
          <w:sz w:val="20"/>
          <w:szCs w:val="20"/>
          <w:color w:val="auto"/>
        </w:rPr>
      </w:pPr>
    </w:p>
    <w:p>
      <w:pPr>
        <w:jc w:val="both"/>
        <w:ind w:left="60" w:right="259"/>
        <w:spacing w:after="0" w:line="254" w:lineRule="auto"/>
        <w:rPr>
          <w:sz w:val="20"/>
          <w:szCs w:val="20"/>
          <w:color w:val="auto"/>
        </w:rPr>
      </w:pPr>
      <w:r>
        <w:rPr>
          <w:rFonts w:ascii="Arial" w:cs="Arial" w:eastAsia="Arial" w:hAnsi="Arial"/>
          <w:sz w:val="17"/>
          <w:szCs w:val="17"/>
          <w:color w:val="auto"/>
        </w:rPr>
        <w:t>If we raise funds through additional licensing or collaboration arrangements with third parties, we may have to relinquish valuable rights to our product candidates or grant licenses under our intellectual property on terms that are not favorable to us. In addition, we may seek additional capital due to favorable market conditions or strategic considerations even if we believe we have sufficient funds for our current or future operating plans.</w:t>
      </w:r>
    </w:p>
    <w:p>
      <w:pPr>
        <w:ind w:left="60" w:right="639"/>
        <w:spacing w:after="0" w:line="242"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2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To the extent that we continue to generate taxable losses, subject to certain limitations, unused losses will carryforward to offset future taxable income, if any, until such unused losses expire. Under Section 382 of the Internal Revenue Code of 1986, as amended, or the Code, if a corporation undergoes an ownership change (generally defined as a greater than 50 percentage points change (by value) in its equity ownership over a rolling three-year period), the corporation’s ability to use its pre-change net operating losses and other pre-change tax attributes to offset its post-change income may be limited. We were formed in 2018 as Century Therapeutics, Inc., or Prior Century. In 2019, in connection with our investment from Bayer Prior Century contributed substantially all of its operating assets and cash to a newly formed entity, Century Therapeutics, LLC. Our business was operated through Century Therapeutics, LLC, until February 2021, at which time we converted into a Delaware C corporation. Upon completion of this conversion, Prior Century, whose only significant asset was its equity investment in Century Therapeutics, LLC, merged with the C corporation, and in connection therewith the C corporation changed its name to “Century Therapeutics, Inc.” We believe that Prior Century or we may have experienced an ownership change in the past, which may affect our ability to utilize our net operating loss carryforwards. In addition, we may experience ownership changes in the future as a result of shifts in our stock ownership, some of which are outside our control. Similar limitations will apply to our ability to carry forward any unused tax credits to offset future taxable income.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96" w:lineRule="exact"/>
        <w:rPr>
          <w:sz w:val="20"/>
          <w:szCs w:val="20"/>
          <w:color w:val="auto"/>
        </w:rPr>
      </w:pPr>
    </w:p>
    <w:p>
      <w:pPr>
        <w:ind w:left="60" w:right="279"/>
        <w:spacing w:after="0" w:line="266"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For example, under Section 174 of the Code, in taxable years beginning after December</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31, 2021, expenses that are incurred for research and development in the U.S. will be capitalized and amortized, which may have an adverse effect on our cash flow.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859"/>
        <w:spacing w:after="0" w:line="309" w:lineRule="auto"/>
        <w:rPr>
          <w:sz w:val="20"/>
          <w:szCs w:val="20"/>
          <w:color w:val="auto"/>
        </w:rPr>
      </w:pPr>
      <w:r>
        <w:rPr>
          <w:rFonts w:ascii="Arial" w:cs="Arial" w:eastAsia="Arial" w:hAnsi="Arial"/>
          <w:sz w:val="17"/>
          <w:szCs w:val="17"/>
          <w:b w:val="1"/>
          <w:bCs w:val="1"/>
          <w:i w:val="1"/>
          <w:iCs w:val="1"/>
          <w:color w:val="auto"/>
        </w:rPr>
        <w:t>Our Option Agreement with Bayer HealthCare LLC may require us to sell certain of our product candidates, which may limit the value we could generate from our product candidates.</w:t>
      </w:r>
    </w:p>
    <w:p>
      <w:pPr>
        <w:spacing w:after="0" w:line="11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are party to an option agreement, or the Option Agreement, with Bayer HealthCare LLC, or Bayer,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Under the Option Agreement, Bayer was granted a right of first refusal, or ROFR, to submit bids for the transfer or license of rights to research, develop and/or commercialize certain Research Products, which we refer to as the Research Product Rights.. While CNTY-101 is no longer included in the Bayer option rights, any other wholly owned product candidate comprised of iNK cells that we develop in the future are subject to the terms of the Option Agreement. Bayer may exercise its ROFR for up to four of the first ten Research Products for which an IND is submitted, subject to certain limitations.</w:t>
      </w:r>
    </w:p>
    <w:p>
      <w:pPr>
        <w:spacing w:after="0" w:line="18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If Bayer exercises its ROFR for one of our Research Products, we may be required to transfer such Research Product (by sale, license, or other structure to be negotiated) to Bayer for a market value as determined by our board of directors, and such determination of market value may ultimately prove to be lower than the actual realizable value of applicable Research Product. There can be no guarantee that we will utilize the proceeds received in connection with the exercise of Bayer’s ROFR in a manner which will provide us with greater value than if we had retained the Research Product or sold such Research Product to another party. Any failure to realize or utilize the full value of our Research Products due to the Option Agreement could have a material adverse effect on our business, financial condition, and results of operation.</w:t>
      </w:r>
    </w:p>
    <w:p>
      <w:pPr>
        <w:spacing w:after="0" w:line="182" w:lineRule="exact"/>
        <w:rPr>
          <w:sz w:val="20"/>
          <w:szCs w:val="20"/>
          <w:color w:val="auto"/>
        </w:rPr>
      </w:pPr>
    </w:p>
    <w:p>
      <w:pPr>
        <w:ind w:left="60" w:right="259"/>
        <w:spacing w:after="0" w:line="278"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13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We cannot assure you that further deterioration in credit and financial markets and confidence in economic conditions will not occur. Our general business strategy and ability to raise capital may be adversely affected by any such economic downturn, volatile business environment, or continued unpredictable and unstable market conditions, including as a result of liquidity constraints, failures and instability in U.S. and international financial banking systems. If the current equity and credit markets deteriorate further, or fail to improve,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8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including in connection with the COVID-19 pandemic, which has resulted in decreased stock prices for many companies notwithstanding the lack of a fundamental change in their underlying business models or prospects. These fluctuations have often been unrelated or disproportionate to the operating performance of those companies. Further, the impacts of political unrest, including as a result geopolitical tension, such as a deterioration in the relationship between the United States and China or the conflict between Russia and Ukraine, including any additional sanctions, export controls or other restrictive actions that may be imposed by the United States and/or other countries against governmental or other entities could lead to disruption, instability and volatility in the global markets, which may have an adverse impact on our business or ability to access the capital markets. Broad market and industry factors, including potentially worsening economic conditions and other adverse effects, or developments relating to pandemics, political, regulatory, and other market conditions, may negatively affect the market price of shares of our common stock, regardless of our actual operating performance.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79"/>
        <w:spacing w:after="0" w:line="249"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6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Most recently,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Even 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4" w:lineRule="exact"/>
        <w:rPr>
          <w:sz w:val="20"/>
          <w:szCs w:val="20"/>
          <w:color w:val="auto"/>
        </w:rPr>
      </w:pPr>
    </w:p>
    <w:p>
      <w:pPr>
        <w:jc w:val="both"/>
        <w:ind w:left="60" w:right="259"/>
        <w:spacing w:after="0" w:line="256" w:lineRule="auto"/>
        <w:rPr>
          <w:sz w:val="20"/>
          <w:szCs w:val="20"/>
          <w:color w:val="auto"/>
        </w:rPr>
      </w:pPr>
      <w:r>
        <w:rPr>
          <w:rFonts w:ascii="Arial" w:cs="Arial" w:eastAsia="Arial" w:hAnsi="Arial"/>
          <w:sz w:val="18"/>
          <w:szCs w:val="18"/>
          <w:b w:val="1"/>
          <w:bCs w:val="1"/>
          <w:i w:val="1"/>
          <w:iCs w:val="1"/>
          <w:color w:val="auto"/>
        </w:rPr>
        <w:t>We are very early in our development efforts. Our business is dependent on our ability to advance our current and future product candidates through preclinical studies and clinical trials, obtain marketing approval, and ultimately commercialize them.</w:t>
      </w:r>
    </w:p>
    <w:p>
      <w:pPr>
        <w:spacing w:after="0" w:line="159"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We are very early in our development efforts and we have only recently initiated out first Phase 1 clinical trial for CNTY-101. Additionally, we are actively engaged in a number of earlier stage discovery programs that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product sales and we may never be able to develop or commercialize a marketable product.</w:t>
      </w:r>
    </w:p>
    <w:p>
      <w:pPr>
        <w:spacing w:after="0" w:line="179"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Each of our product candidates will require additional preclinical and/or clinical development, regulatory approval in multiple jurisdictions, obtaining manufacturing supply, capacity and expertise, building a commercial organization, or successfully outsourcing commercialization, substantial investment, and significant marketing efforts before we generate any revenue from product sales. Our product candidates must be authorized for marketing by the U.S. Food and Drug Administration, or the FDA, or certain other foreign regulatory agencies before we may commercialize our product candidates.</w:t>
      </w:r>
    </w:p>
    <w:p>
      <w:pPr>
        <w:spacing w:after="0" w:line="179" w:lineRule="exact"/>
        <w:rPr>
          <w:sz w:val="20"/>
          <w:szCs w:val="20"/>
          <w:color w:val="auto"/>
        </w:rPr>
      </w:pPr>
    </w:p>
    <w:p>
      <w:pPr>
        <w:ind w:left="60" w:right="439"/>
        <w:spacing w:after="0" w:line="271" w:lineRule="auto"/>
        <w:rPr>
          <w:sz w:val="20"/>
          <w:szCs w:val="20"/>
          <w:color w:val="auto"/>
        </w:rPr>
      </w:pPr>
      <w:r>
        <w:rPr>
          <w:rFonts w:ascii="Arial" w:cs="Arial" w:eastAsia="Arial" w:hAnsi="Arial"/>
          <w:sz w:val="18"/>
          <w:szCs w:val="18"/>
          <w:color w:val="auto"/>
        </w:rPr>
        <w:t>The clinical and commercial success of our product candidates will depend on several factors, including the following:</w:t>
      </w:r>
    </w:p>
    <w:p>
      <w:pPr>
        <w:spacing w:after="0" w:line="154" w:lineRule="exact"/>
        <w:rPr>
          <w:sz w:val="20"/>
          <w:szCs w:val="20"/>
          <w:color w:val="auto"/>
        </w:rPr>
      </w:pPr>
    </w:p>
    <w:p>
      <w:pPr>
        <w:ind w:left="60" w:right="199" w:firstLine="638"/>
        <w:spacing w:after="0" w:line="253" w:lineRule="auto"/>
        <w:tabs>
          <w:tab w:leader="none" w:pos="1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 and in accordance with Good Laboratory Practices, or GLPs;;</w:t>
      </w:r>
    </w:p>
    <w:p>
      <w:pPr>
        <w:spacing w:after="0" w:line="168" w:lineRule="exact"/>
        <w:rPr>
          <w:rFonts w:ascii="Arial" w:cs="Arial" w:eastAsia="Arial" w:hAnsi="Arial"/>
          <w:sz w:val="18"/>
          <w:szCs w:val="18"/>
          <w:color w:val="auto"/>
        </w:rPr>
      </w:pPr>
    </w:p>
    <w:p>
      <w:pPr>
        <w:ind w:left="60" w:right="419" w:firstLine="638"/>
        <w:spacing w:after="0" w:line="271" w:lineRule="auto"/>
        <w:tabs>
          <w:tab w:leader="none" w:pos="1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INDs or comparable foreign applications that allow commencement of our planned clinical trials or future clinical trials for our product candidates;</w:t>
      </w:r>
    </w:p>
    <w:p>
      <w:pPr>
        <w:spacing w:after="0" w:line="153" w:lineRule="exact"/>
        <w:rPr>
          <w:rFonts w:ascii="Arial" w:cs="Arial" w:eastAsia="Arial" w:hAnsi="Arial"/>
          <w:sz w:val="18"/>
          <w:szCs w:val="18"/>
          <w:color w:val="auto"/>
        </w:rPr>
      </w:pPr>
    </w:p>
    <w:p>
      <w:pPr>
        <w:ind w:left="60" w:right="199" w:firstLine="638"/>
        <w:spacing w:after="0" w:line="271" w:lineRule="auto"/>
        <w:tabs>
          <w:tab w:leader="none" w:pos="1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or cGCPs, and GLPs;</w:t>
      </w:r>
    </w:p>
    <w:p>
      <w:pPr>
        <w:spacing w:after="0" w:line="153" w:lineRule="exact"/>
        <w:rPr>
          <w:rFonts w:ascii="Arial" w:cs="Arial" w:eastAsia="Arial" w:hAnsi="Arial"/>
          <w:sz w:val="18"/>
          <w:szCs w:val="18"/>
          <w:color w:val="auto"/>
        </w:rPr>
      </w:pPr>
    </w:p>
    <w:p>
      <w:pPr>
        <w:ind w:left="60" w:right="139" w:firstLine="638"/>
        <w:spacing w:after="0" w:line="253" w:lineRule="auto"/>
        <w:tabs>
          <w:tab w:leader="none" w:pos="1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positive results from our ongoing, planned and future clinical programs that support a finding of safety and effectiveness and an acceptable risk-benefit profile of our product candidates in the intended populations;</w:t>
      </w:r>
    </w:p>
    <w:p>
      <w:pPr>
        <w:spacing w:after="0" w:line="168" w:lineRule="exact"/>
        <w:rPr>
          <w:rFonts w:ascii="Arial" w:cs="Arial" w:eastAsia="Arial" w:hAnsi="Arial"/>
          <w:sz w:val="18"/>
          <w:szCs w:val="18"/>
          <w:color w:val="auto"/>
        </w:rPr>
      </w:pPr>
    </w:p>
    <w:p>
      <w:pPr>
        <w:ind w:left="1340" w:hanging="642"/>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11" w:lineRule="exact"/>
        <w:rPr>
          <w:rFonts w:ascii="Arial" w:cs="Arial" w:eastAsia="Arial" w:hAnsi="Arial"/>
          <w:sz w:val="18"/>
          <w:szCs w:val="18"/>
          <w:color w:val="auto"/>
        </w:rPr>
      </w:pPr>
    </w:p>
    <w:p>
      <w:pPr>
        <w:ind w:left="60" w:right="999" w:firstLine="638"/>
        <w:spacing w:after="0" w:line="271" w:lineRule="auto"/>
        <w:tabs>
          <w:tab w:leader="none" w:pos="1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of arrangements with CMOs for clinical supply and, where applicable, commercial manufacturing capabilities;</w:t>
      </w:r>
    </w:p>
    <w:p>
      <w:pPr>
        <w:spacing w:after="0" w:line="153" w:lineRule="exact"/>
        <w:rPr>
          <w:rFonts w:ascii="Arial" w:cs="Arial" w:eastAsia="Arial" w:hAnsi="Arial"/>
          <w:sz w:val="18"/>
          <w:szCs w:val="18"/>
          <w:color w:val="auto"/>
        </w:rPr>
      </w:pPr>
    </w:p>
    <w:p>
      <w:pPr>
        <w:ind w:left="60" w:right="739" w:firstLine="638"/>
        <w:spacing w:after="0" w:line="271" w:lineRule="auto"/>
        <w:tabs>
          <w:tab w:leader="none" w:pos="1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and maintenance of patent and trade secret protection, and/or regulatory exclusivity for our product candidates</w:t>
      </w:r>
    </w:p>
    <w:p>
      <w:pPr>
        <w:sectPr>
          <w:pgSz w:w="11900" w:h="16838" w:orient="portrait"/>
          <w:cols w:equalWidth="0" w:num="1">
            <w:col w:w="9019"/>
          </w:cols>
          <w:pgMar w:left="1440" w:top="513" w:right="1440"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40" w:hanging="642"/>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 launch of our product candidates, if approved, whether alone or in collaboration</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with others;</w:t>
      </w:r>
    </w:p>
    <w:p>
      <w:pPr>
        <w:spacing w:after="0" w:line="193" w:lineRule="exact"/>
        <w:rPr>
          <w:rFonts w:ascii="Arial" w:cs="Arial" w:eastAsia="Arial" w:hAnsi="Arial"/>
          <w:sz w:val="18"/>
          <w:szCs w:val="18"/>
          <w:color w:val="auto"/>
        </w:rPr>
      </w:pPr>
    </w:p>
    <w:p>
      <w:pPr>
        <w:ind w:left="60" w:right="1139" w:firstLine="638"/>
        <w:spacing w:after="0" w:line="301" w:lineRule="auto"/>
        <w:tabs>
          <w:tab w:leader="none" w:pos="13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acceptance of the benefits and use of our product candidates, including method of administration, if and when approved, by patients, the medical community, and third-party payors;</w:t>
      </w:r>
    </w:p>
    <w:p>
      <w:pPr>
        <w:spacing w:after="0" w:line="130" w:lineRule="exact"/>
        <w:rPr>
          <w:rFonts w:ascii="Arial" w:cs="Arial" w:eastAsia="Arial" w:hAnsi="Arial"/>
          <w:sz w:val="17"/>
          <w:szCs w:val="17"/>
          <w:color w:val="auto"/>
        </w:rPr>
      </w:pPr>
    </w:p>
    <w:p>
      <w:pPr>
        <w:ind w:left="1340" w:hanging="642"/>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 competition with other therapies;</w:t>
      </w:r>
    </w:p>
    <w:p>
      <w:pPr>
        <w:spacing w:after="0" w:line="211" w:lineRule="exact"/>
        <w:rPr>
          <w:rFonts w:ascii="Arial" w:cs="Arial" w:eastAsia="Arial" w:hAnsi="Arial"/>
          <w:sz w:val="18"/>
          <w:szCs w:val="18"/>
          <w:color w:val="auto"/>
        </w:rPr>
      </w:pPr>
    </w:p>
    <w:p>
      <w:pPr>
        <w:ind w:left="60" w:right="499" w:firstLine="638"/>
        <w:spacing w:after="0" w:line="301" w:lineRule="auto"/>
        <w:tabs>
          <w:tab w:leader="none" w:pos="13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establishment and maintenance of healthcare coverage and adequate reimbursement and patients’ willingness to pay out-of-pocket in the absence of such coverage and adequate reimbursement;</w:t>
      </w:r>
    </w:p>
    <w:p>
      <w:pPr>
        <w:spacing w:after="0" w:line="130" w:lineRule="exact"/>
        <w:rPr>
          <w:rFonts w:ascii="Arial" w:cs="Arial" w:eastAsia="Arial" w:hAnsi="Arial"/>
          <w:sz w:val="17"/>
          <w:szCs w:val="17"/>
          <w:color w:val="auto"/>
        </w:rPr>
      </w:pPr>
    </w:p>
    <w:p>
      <w:pPr>
        <w:ind w:left="1340" w:hanging="642"/>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establishment of a physician training system and network for administration of our product</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candidates;</w:t>
      </w:r>
    </w:p>
    <w:p>
      <w:pPr>
        <w:spacing w:after="0" w:line="193" w:lineRule="exact"/>
        <w:rPr>
          <w:rFonts w:ascii="Arial" w:cs="Arial" w:eastAsia="Arial" w:hAnsi="Arial"/>
          <w:sz w:val="18"/>
          <w:szCs w:val="18"/>
          <w:color w:val="auto"/>
        </w:rPr>
      </w:pPr>
    </w:p>
    <w:p>
      <w:pPr>
        <w:ind w:left="1340" w:hanging="642"/>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enforcement and defense of intellectual property rights and claims; and</w:t>
      </w:r>
    </w:p>
    <w:p>
      <w:pPr>
        <w:spacing w:after="0" w:line="211" w:lineRule="exact"/>
        <w:rPr>
          <w:rFonts w:ascii="Arial" w:cs="Arial" w:eastAsia="Arial" w:hAnsi="Arial"/>
          <w:sz w:val="18"/>
          <w:szCs w:val="18"/>
          <w:color w:val="auto"/>
        </w:rPr>
      </w:pPr>
    </w:p>
    <w:p>
      <w:pPr>
        <w:ind w:left="60" w:right="379" w:firstLine="638"/>
        <w:spacing w:after="0" w:line="271" w:lineRule="auto"/>
        <w:tabs>
          <w:tab w:leader="none" w:pos="13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maintenance of a continued acceptable safety, tolerability, and efficacy profile of our product candidates following approval.</w:t>
      </w:r>
    </w:p>
    <w:p>
      <w:pPr>
        <w:spacing w:after="0" w:line="154"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our product candidates, if approved,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178" w:lineRule="exact"/>
        <w:rPr>
          <w:sz w:val="20"/>
          <w:szCs w:val="20"/>
          <w:color w:val="auto"/>
        </w:rPr>
      </w:pPr>
    </w:p>
    <w:p>
      <w:pPr>
        <w:ind w:left="60" w:right="499"/>
        <w:spacing w:after="0" w:line="278" w:lineRule="auto"/>
        <w:rPr>
          <w:sz w:val="20"/>
          <w:szCs w:val="20"/>
          <w:color w:val="auto"/>
        </w:rPr>
      </w:pPr>
      <w:r>
        <w:rPr>
          <w:rFonts w:ascii="Arial" w:cs="Arial" w:eastAsia="Arial" w:hAnsi="Arial"/>
          <w:sz w:val="18"/>
          <w:szCs w:val="18"/>
          <w:b w:val="1"/>
          <w:bCs w:val="1"/>
          <w:i w:val="1"/>
          <w:iCs w:val="1"/>
          <w:color w:val="auto"/>
        </w:rPr>
        <w:t>Our business is highly dependent on the success of our lead product candidate, CNTY-101 and our other product candidates.</w:t>
      </w:r>
    </w:p>
    <w:p>
      <w:pPr>
        <w:spacing w:after="0" w:line="13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While we have successfully initiated the clinical development of CNTY-101, we cannot guarantee that an IND application will be cleared to proceed after submission to the FDA for any of our other product candidates or that CNTY-101 or our other product candidates will be approved for commercialization, on a timely basis or at all. Although certain of our employees have prior experience with clinical trials and regulatory approvals, we have not previously completed any clinical trials or submitted a BLA to the FDA, or similar regulatory approval filings to comparable foreign authorities, for any product candidate, and we cannot be certain that CNTY-101 or our other product candidates will be successful in clinical trials or receive regulatory approval. The FDA and other comparable global regulatory authorities can delay, limit, or deny approval of a product candidate for many reasons. Any delay in obtaining, or inability to obtain, applicable regulatory approval will delay or harm our ability to successfully develop and commercialize CNTY-101 or our other product candidates and materially adversely affect our business, financial condition, results of operations, and growth prospects.</w:t>
      </w:r>
    </w:p>
    <w:p>
      <w:pPr>
        <w:spacing w:after="0" w:line="18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Furthermore, if our clinical trials of CNTY-101 or our other product candidates encounter safety, efficacy, or manufacturing problems, development delays, regulatory issues, or other problems, our development plans for such product candidates in our pipeline could be significantly impaired, which could materially adversely affect our business, financial condition, results of operations, and growth prospects.</w:t>
      </w:r>
    </w:p>
    <w:p>
      <w:pPr>
        <w:spacing w:after="0" w:line="174"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depends upon the success of our iPSC-derived allogeneic cell therapy platforms.</w:t>
      </w:r>
    </w:p>
    <w:p>
      <w:pPr>
        <w:spacing w:after="0" w:line="21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Our success depends on our ability to utilize our iPSC-derived allogeneic cell therapy platforms to generate chimeric antigen receptors, or CAR-iNK and CAR-iT cell product candidates, to obtain regulatory approval for product candidates derived from it, and to then commercialize our product candidates addressing one or more indications. Though iPSC-derived cell therapy product candidates have been evaluated by others in clinical trials, our product candidates have never been evaluated in human clinical trials, and we may experience unexpected or adverse results in the future. We are exposed to a number of unforeseen risks and it is difficult to predict the types of challenges and risks that we may encounter during development of our product candidates. All of our product candidates developed from our iPSC allogeneic cell therapy platforms will require significant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iPSC technology.</w:t>
      </w:r>
    </w:p>
    <w:p>
      <w:pPr>
        <w:spacing w:after="0" w:line="18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Additionally, a key element of our strategy is to use and expand our iPSC allogeneic cell therapy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we may not be able to develop product candidates that a regulatory agency, such as the FDA, will consider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and achieve market acceptance. If we do not successfully develop, obtain approval for, and begin to commercialize any product candidates for which we receive approval, we will face difficulty in obtaining product revenue in future periods, which could result in significant harm to our financial position and adversely affect our share price.</w:t>
      </w:r>
    </w:p>
    <w:p>
      <w:pPr>
        <w:spacing w:after="0" w:line="188" w:lineRule="exact"/>
        <w:rPr>
          <w:sz w:val="20"/>
          <w:szCs w:val="20"/>
          <w:color w:val="auto"/>
        </w:rPr>
      </w:pPr>
    </w:p>
    <w:p>
      <w:pPr>
        <w:ind w:left="60" w:right="559"/>
        <w:spacing w:after="0" w:line="256" w:lineRule="auto"/>
        <w:rPr>
          <w:sz w:val="20"/>
          <w:szCs w:val="20"/>
          <w:color w:val="auto"/>
        </w:rPr>
      </w:pPr>
      <w:r>
        <w:rPr>
          <w:rFonts w:ascii="Arial" w:cs="Arial" w:eastAsia="Arial" w:hAnsi="Arial"/>
          <w:sz w:val="18"/>
          <w:szCs w:val="18"/>
          <w:b w:val="1"/>
          <w:bCs w:val="1"/>
          <w:i w:val="1"/>
          <w:iCs w:val="1"/>
          <w:color w:val="auto"/>
        </w:rPr>
        <w:t>Utilizing CAR-iNK and CAR-iT cells represents a novel approach to immuno-oncology treatment of cancer, and we must overcome significant challenges in order to develop, commercialize, and manufacture our product candidates.</w:t>
      </w:r>
    </w:p>
    <w:p>
      <w:pPr>
        <w:spacing w:after="0" w:line="15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have concentrated our research and development efforts on developing CAR-iNK and CAR-iT cell therapies. The processes and requirements imposed by the FDA or other applicable regulatory authorities may cause delays and additional costs in obtaining approvals for our product candidates. Because our iPSC-derived allogeneic cell therapy platforms are novel, and cell-based therapies are relatively new, regulatory agencies may lack experience in evaluating our product candidates utilizing CAR-iNK and CAR-iT cells. This novelty may lengthen the regulatory review process, including the time it takes for the FDA to review our IND applications, if and when submitted, increase our development costs, and delay or prevent commercialization of our iPSC-derived allogeneic cell therapy platform products. Additionally, advancing novel immuno-oncology cell therapies creates significant challenges for us, including:</w:t>
      </w:r>
    </w:p>
    <w:p>
      <w:pPr>
        <w:spacing w:after="0" w:line="183" w:lineRule="exact"/>
        <w:rPr>
          <w:sz w:val="20"/>
          <w:szCs w:val="20"/>
          <w:color w:val="auto"/>
        </w:rPr>
      </w:pPr>
    </w:p>
    <w:p>
      <w:pPr>
        <w:ind w:left="60" w:right="99" w:firstLine="638"/>
        <w:spacing w:after="0" w:line="271" w:lineRule="auto"/>
        <w:tabs>
          <w:tab w:leader="none" w:pos="13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and sustaining a manufacturing process to produce our cells on a large scale and in a cost-effective manner;</w:t>
      </w:r>
    </w:p>
    <w:p>
      <w:pPr>
        <w:spacing w:after="0" w:line="153" w:lineRule="exact"/>
        <w:rPr>
          <w:rFonts w:ascii="Arial" w:cs="Arial" w:eastAsia="Arial" w:hAnsi="Arial"/>
          <w:sz w:val="18"/>
          <w:szCs w:val="18"/>
          <w:color w:val="auto"/>
        </w:rPr>
      </w:pPr>
    </w:p>
    <w:p>
      <w:pPr>
        <w:ind w:left="60" w:right="259" w:firstLine="638"/>
        <w:spacing w:after="0" w:line="271" w:lineRule="auto"/>
        <w:tabs>
          <w:tab w:leader="none" w:pos="13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side-effect profile of our cells and, as the clinical program progresses, on any observed side effects with the therapy;</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technical limitations of our CRISPR-MAD7 gene editing technology; and</w:t>
      </w:r>
    </w:p>
    <w:p>
      <w:pPr>
        <w:spacing w:after="0" w:line="211" w:lineRule="exact"/>
        <w:rPr>
          <w:rFonts w:ascii="Arial" w:cs="Arial" w:eastAsia="Arial" w:hAnsi="Arial"/>
          <w:sz w:val="18"/>
          <w:szCs w:val="18"/>
          <w:color w:val="auto"/>
        </w:rPr>
      </w:pPr>
    </w:p>
    <w:p>
      <w:pPr>
        <w:ind w:left="60" w:right="359" w:firstLine="638"/>
        <w:spacing w:after="0" w:line="271" w:lineRule="auto"/>
        <w:tabs>
          <w:tab w:leader="none" w:pos="13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sales and marketing capabilities, as well as developing a distribution network to support the commercialization of any approved products.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We must be able to overcome these challenges in order for us to successfully develop, commercialize, and manufacture our product candidates utilizing CAR-iNK and CAR-iT cells.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not yet demonstrated long-term stability of cryopreserved CAR-iNK cells.</w:t>
      </w:r>
    </w:p>
    <w:p>
      <w:pPr>
        <w:spacing w:after="0" w:line="21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have not yet demonstrated long-term stability of cryopreserved CAR-iNK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 We may also encounter difficulties not only in developing freezing and thawing methodologies for large-scale use, but also in obtaining the necessary regulatory approvals for using such methodologies in treatment. If we cannot adequately demonstrate similarity of our frozen product to the unfrozen form to the satisfaction of the FDA, we could face substantial delays in our regulatory approvals.</w:t>
      </w:r>
    </w:p>
    <w:p>
      <w:pPr>
        <w:spacing w:after="0" w:line="185" w:lineRule="exact"/>
        <w:rPr>
          <w:sz w:val="20"/>
          <w:szCs w:val="20"/>
          <w:color w:val="auto"/>
        </w:rPr>
      </w:pPr>
    </w:p>
    <w:p>
      <w:pPr>
        <w:ind w:left="60" w:right="579"/>
        <w:spacing w:after="0" w:line="256" w:lineRule="auto"/>
        <w:rPr>
          <w:sz w:val="20"/>
          <w:szCs w:val="20"/>
          <w:color w:val="auto"/>
        </w:rPr>
      </w:pPr>
      <w:r>
        <w:rPr>
          <w:rFonts w:ascii="Arial" w:cs="Arial" w:eastAsia="Arial" w:hAnsi="Arial"/>
          <w:sz w:val="18"/>
          <w:szCs w:val="18"/>
          <w:b w:val="1"/>
          <w:bCs w:val="1"/>
          <w:i w:val="1"/>
          <w:iCs w:val="1"/>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15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use CRISPR-based nuclease to enable precise editing of the iPSC genome. For CNTY-101, we used the nuclease Cpf-1 but have shifted to CRISPR-MAD7 for all subsequent product candidates, and we may utilize CRISPR-MAD7 for CNTY-101 in the future. We decided to shift to CRISPR-MAD7 because we entered into a license agreement with Inscripta, Inc. and obtained a non-exclusive, royalty-free, irrevocable license to a patent portfolio covering the composition, production and use of CRISPR-MAD7. We have optimized the protocols to produce CRISPR-MAD7 and have achieved similar cutting and HDR efficiencies compared to Cpf-1, but we don’t have as much experimental data with CRISPR-MAD7 as we do with Cpf1. We may encounter technical liabilities associated with CRISPR-MAD7 that could force us to use a different CRISPR nuclease which could delay our programs and require us to enter into a license agreement for additional technology, which may not be available on commercially reasonable terms or at all.</w:t>
      </w:r>
    </w:p>
    <w:p>
      <w:pPr>
        <w:spacing w:after="0" w:line="180"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Our gene-editing technology may create unintended changes to the DNA such as a non-target site gene-edit, a large deletion, or a DNA translocation, any of which could impact timelines for new product generation. We have developed various genome characterization assays to identify deletions/insertions that can occur as a result of gene editing.</w:t>
      </w:r>
    </w:p>
    <w:p>
      <w:pPr>
        <w:spacing w:after="0" w:line="174"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Although we believe CAR-iNK and CAR-iT based therapies do not require further modification to avoid the risk of graft versus host disease, or GvHD, the gene-editing of our product candidates utilizing CAR-iNK and CAR-iT cells may not be successful in limiting the risk of GvHD or premature rejection by patients.</w:t>
      </w:r>
    </w:p>
    <w:p>
      <w:pPr>
        <w:spacing w:after="0" w:line="16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In addition, the cell therapy industry is rapidly developing, and our competitors may introduce new gene-editing technologies that render our technology less attractive. Competitive pressures may force us to implement new gene-editing technologies at a substantial cost or delay in our clinical development process. In addition, our competitors may have greater financial, technical and personnel resources that allow them to implement new gene-editing technologies before we can. We cannot be certain that we will be able to implement new gene-editing technologies on a timely basis or at a cost that is acceptable to us. If we are unable to implement technological advancements consistent with industry standards, our operations and financial condition may be adversely affected.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119"/>
        <w:spacing w:after="0" w:line="278" w:lineRule="auto"/>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3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Affordable Care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 -controlled clinical trials to demonstrate the safety, purity, and potency of their product. The law is complex and is still being interpreted and implemented by the FDA. As a result, its ultimate impact, implementation, and meaning are subject to uncertainty. In addition, complexities associated with the larger, and often more complex, structures of biological products such as cell and gene products we are developing, as well as the processes by which such products are manufactured, pose significant hurdles to implementation of the abbreviated approval pathway that are still being worked out by the FDA.</w:t>
      </w:r>
    </w:p>
    <w:p>
      <w:pPr>
        <w:spacing w:after="0" w:line="188"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3"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Jurisdictions in addition to the United States have established abbreviated pathways for regulatory approval of biological products that are biosimilar to earlier approved reference products. For example, the European Union has had an established regulatory pathway for biosimilars since 2004. However, biosimilars can only be authorized once the period of data exclusivity on the reference biological medicine has expired.</w:t>
      </w:r>
    </w:p>
    <w:p>
      <w:pPr>
        <w:spacing w:after="0" w:line="17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product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and we may not generate adequate or sufficient revenues from them or be able to reach or sustain profitability.</w:t>
      </w:r>
    </w:p>
    <w:p>
      <w:pPr>
        <w:spacing w:after="0" w:line="182" w:lineRule="exact"/>
        <w:rPr>
          <w:sz w:val="20"/>
          <w:szCs w:val="20"/>
          <w:color w:val="auto"/>
        </w:rPr>
      </w:pPr>
    </w:p>
    <w:p>
      <w:pPr>
        <w:ind w:left="60" w:right="199"/>
        <w:spacing w:after="0" w:line="249" w:lineRule="auto"/>
        <w:rPr>
          <w:sz w:val="20"/>
          <w:szCs w:val="20"/>
          <w:color w:val="auto"/>
        </w:rPr>
      </w:pPr>
      <w:r>
        <w:rPr>
          <w:rFonts w:ascii="Arial" w:cs="Arial" w:eastAsia="Arial" w:hAnsi="Arial"/>
          <w:sz w:val="18"/>
          <w:szCs w:val="18"/>
          <w:b w:val="1"/>
          <w:bCs w:val="1"/>
          <w:i w:val="1"/>
          <w:iCs w:val="1"/>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139"/>
        <w:spacing w:after="0" w:line="242" w:lineRule="auto"/>
        <w:rPr>
          <w:sz w:val="20"/>
          <w:szCs w:val="20"/>
          <w:color w:val="auto"/>
        </w:rPr>
      </w:pPr>
      <w:r>
        <w:rPr>
          <w:rFonts w:ascii="Arial" w:cs="Arial" w:eastAsia="Arial" w:hAnsi="Arial"/>
          <w:sz w:val="18"/>
          <w:szCs w:val="18"/>
          <w:color w:val="auto"/>
        </w:rPr>
        <w:t>All but one of our product candidates are in preclinical development and the risk of failure for all of our product candidates is high. It is impossible to predict when or if any of our discovery or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w:t>
      </w:r>
    </w:p>
    <w:p>
      <w:pPr>
        <w:spacing w:after="0" w:line="17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results of preclinical studies and early clinical trials or early cohorts of our clinical trials of our product candidates may not be predictive of the results of later-stage clinical trials or later cohorts of our clinical trials. Our initial clinical trials will begin with relatively small cohorts before expanding in size in subsequent cohorts. The initial cohorts of early-stage clinical trials often involve enrollment of a small number of patients and may not be as predictive as trials with larger cohorts. Additionally, if safety issues arise in an early cohort, we may be delayed or prevented from subsequently expanding into larger trial cohorts. We may be unable to establish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w:t>
      </w:r>
    </w:p>
    <w:p>
      <w:pPr>
        <w:spacing w:after="0" w:line="18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Moreover, clinical data is often susceptible to varying interpretations and analyses, and many companies that have believed their product candidates performed satisfactorily in clinical trials have nonetheless failed to obtain marketing approval of their products. A number of companies in the biopharmaceutical industry have suffered significant setbacks in advanced clinical trials due to lack of efficacy or unfavorable safety profiles, notwithstanding promising results in earlier trials. There is typically a high rate of failure of product candidates proceeding through clinical trials. Most product candidates that commence clinical trials are never approved as products and there can be no assurance that any of our current clinical trials or future clinical trials, if allowed to proceed, will ultimately be successful or support clinical development of our current or any of our future product candidates.</w:t>
      </w:r>
    </w:p>
    <w:p>
      <w:pPr>
        <w:spacing w:after="0" w:line="183"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may experience delays in initiating or completing clinical trials. We also may experience numerous unforeseen events during, or as a result of, any of our current clinical trials or future clinical trials that we could conduct that could delay or prevent our ability to receive marketing approval or commercialize our lead product candidates or any future product candidates, including:</w:t>
      </w:r>
    </w:p>
    <w:p>
      <w:pPr>
        <w:spacing w:after="0" w:line="174" w:lineRule="exact"/>
        <w:rPr>
          <w:sz w:val="20"/>
          <w:szCs w:val="20"/>
          <w:color w:val="auto"/>
        </w:rPr>
      </w:pPr>
    </w:p>
    <w:p>
      <w:pPr>
        <w:ind w:left="60" w:right="179" w:firstLine="638"/>
        <w:spacing w:after="0" w:line="301" w:lineRule="auto"/>
        <w:tabs>
          <w:tab w:leader="none" w:pos="13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the FDA, or ethics committees may not authorize us or our investigators to commence a clinical trial or conduct a clinical trial at a prospective trial site;</w:t>
      </w:r>
    </w:p>
    <w:p>
      <w:pPr>
        <w:spacing w:after="0" w:line="130" w:lineRule="exact"/>
        <w:rPr>
          <w:rFonts w:ascii="Arial" w:cs="Arial" w:eastAsia="Arial" w:hAnsi="Arial"/>
          <w:sz w:val="17"/>
          <w:szCs w:val="17"/>
          <w:color w:val="auto"/>
        </w:rPr>
      </w:pPr>
    </w:p>
    <w:p>
      <w:pPr>
        <w:ind w:left="60" w:right="179" w:firstLine="638"/>
        <w:spacing w:after="0" w:line="253" w:lineRule="auto"/>
        <w:tabs>
          <w:tab w:leader="none" w:pos="13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as the terms of which can be subject to extensive negotiation and may vary significantly among different CROs and trial sites;</w:t>
      </w:r>
    </w:p>
    <w:p>
      <w:pPr>
        <w:spacing w:after="0" w:line="168" w:lineRule="exact"/>
        <w:rPr>
          <w:rFonts w:ascii="Arial" w:cs="Arial" w:eastAsia="Arial" w:hAnsi="Arial"/>
          <w:sz w:val="18"/>
          <w:szCs w:val="18"/>
          <w:color w:val="auto"/>
        </w:rPr>
      </w:pPr>
    </w:p>
    <w:p>
      <w:pPr>
        <w:ind w:left="1340" w:hanging="642"/>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11" w:lineRule="exact"/>
        <w:rPr>
          <w:rFonts w:ascii="Arial" w:cs="Arial" w:eastAsia="Arial" w:hAnsi="Arial"/>
          <w:sz w:val="18"/>
          <w:szCs w:val="18"/>
          <w:color w:val="auto"/>
        </w:rPr>
      </w:pPr>
    </w:p>
    <w:p>
      <w:pPr>
        <w:jc w:val="both"/>
        <w:ind w:left="60" w:right="179" w:firstLine="638"/>
        <w:spacing w:after="0" w:line="253" w:lineRule="auto"/>
        <w:tabs>
          <w:tab w:leader="none" w:pos="13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168" w:lineRule="exact"/>
        <w:rPr>
          <w:rFonts w:ascii="Arial" w:cs="Arial" w:eastAsia="Arial" w:hAnsi="Arial"/>
          <w:sz w:val="18"/>
          <w:szCs w:val="18"/>
          <w:color w:val="auto"/>
        </w:rPr>
      </w:pPr>
    </w:p>
    <w:p>
      <w:pPr>
        <w:ind w:left="60" w:right="199" w:firstLine="638"/>
        <w:spacing w:after="0" w:line="253" w:lineRule="auto"/>
        <w:tabs>
          <w:tab w:leader="none" w:pos="13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spacing w:after="0" w:line="168" w:lineRule="exact"/>
        <w:rPr>
          <w:rFonts w:ascii="Arial" w:cs="Arial" w:eastAsia="Arial" w:hAnsi="Arial"/>
          <w:sz w:val="18"/>
          <w:szCs w:val="18"/>
          <w:color w:val="auto"/>
        </w:rPr>
      </w:pPr>
    </w:p>
    <w:p>
      <w:pPr>
        <w:ind w:left="60" w:right="299" w:firstLine="638"/>
        <w:spacing w:after="0" w:line="253" w:lineRule="auto"/>
        <w:tabs>
          <w:tab w:leader="none" w:pos="13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firstLine="638"/>
        <w:spacing w:after="0" w:line="247" w:lineRule="auto"/>
        <w:tabs>
          <w:tab w:leader="none" w:pos="13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173" w:lineRule="exact"/>
        <w:rPr>
          <w:rFonts w:ascii="Arial" w:cs="Arial" w:eastAsia="Arial" w:hAnsi="Arial"/>
          <w:sz w:val="18"/>
          <w:szCs w:val="18"/>
          <w:color w:val="auto"/>
        </w:rPr>
      </w:pPr>
    </w:p>
    <w:p>
      <w:pPr>
        <w:ind w:left="1340" w:hanging="642"/>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any of our product candidates may be greater than we anticipate;</w:t>
      </w:r>
    </w:p>
    <w:p>
      <w:pPr>
        <w:spacing w:after="0" w:line="211" w:lineRule="exact"/>
        <w:rPr>
          <w:rFonts w:ascii="Arial" w:cs="Arial" w:eastAsia="Arial" w:hAnsi="Arial"/>
          <w:sz w:val="18"/>
          <w:szCs w:val="18"/>
          <w:color w:val="auto"/>
        </w:rPr>
      </w:pPr>
    </w:p>
    <w:p>
      <w:pPr>
        <w:ind w:left="60" w:right="359" w:firstLine="638"/>
        <w:spacing w:after="0" w:line="271" w:lineRule="auto"/>
        <w:tabs>
          <w:tab w:leader="none" w:pos="13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quality of our product candidates or other materials necessary to conduct clinical trials of our product candidates may be inadequate to initiate or complete a given clinical trial;</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manufacture sufficient quantities of our product candidates for use in clinical</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trials;</w:t>
      </w:r>
    </w:p>
    <w:p>
      <w:pPr>
        <w:spacing w:after="0" w:line="193" w:lineRule="exact"/>
        <w:rPr>
          <w:rFonts w:ascii="Arial" w:cs="Arial" w:eastAsia="Arial" w:hAnsi="Arial"/>
          <w:sz w:val="18"/>
          <w:szCs w:val="18"/>
          <w:color w:val="auto"/>
        </w:rPr>
      </w:pPr>
    </w:p>
    <w:p>
      <w:pPr>
        <w:ind w:left="60" w:right="259" w:firstLine="638"/>
        <w:spacing w:after="0" w:line="271" w:lineRule="auto"/>
        <w:tabs>
          <w:tab w:leader="none" w:pos="13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reports from clinical testing of other therapies may raise safety or efficacy concerns about our product candidates;</w:t>
      </w:r>
    </w:p>
    <w:p>
      <w:pPr>
        <w:spacing w:after="0" w:line="153" w:lineRule="exact"/>
        <w:rPr>
          <w:rFonts w:ascii="Arial" w:cs="Arial" w:eastAsia="Arial" w:hAnsi="Arial"/>
          <w:sz w:val="18"/>
          <w:szCs w:val="18"/>
          <w:color w:val="auto"/>
        </w:rPr>
      </w:pPr>
    </w:p>
    <w:p>
      <w:pPr>
        <w:ind w:left="60" w:right="159" w:firstLine="638"/>
        <w:spacing w:after="0" w:line="253" w:lineRule="auto"/>
        <w:tabs>
          <w:tab w:leader="none" w:pos="13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to establish an appropriate safety profile for a product candidate based on clinical or preclinical data for such product candidate as well as data emerging from other studies or trials in the same class as our product candidate; and</w:t>
      </w:r>
    </w:p>
    <w:p>
      <w:pPr>
        <w:spacing w:after="0" w:line="168" w:lineRule="exact"/>
        <w:rPr>
          <w:rFonts w:ascii="Arial" w:cs="Arial" w:eastAsia="Arial" w:hAnsi="Arial"/>
          <w:sz w:val="18"/>
          <w:szCs w:val="18"/>
          <w:color w:val="auto"/>
        </w:rPr>
      </w:pPr>
    </w:p>
    <w:p>
      <w:pPr>
        <w:ind w:left="60" w:right="79" w:firstLine="638"/>
        <w:spacing w:after="0" w:line="301" w:lineRule="auto"/>
        <w:tabs>
          <w:tab w:leader="none" w:pos="13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FDA or applicable foreign regulatory agencies may require us to submit additional data such as long-term toxicology studies, or impose other requirements before permitting us to initiate a clinical trial.</w:t>
      </w:r>
    </w:p>
    <w:p>
      <w:pPr>
        <w:spacing w:after="0" w:line="13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Patient enrollment, a significant factor in the timing of clinical trials, is affected by many factors including the size and nature of the patient population, the number and location of clinical sites we enroll,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patients’ perceptions as to the potential advantages of the product candidate being studied in relation to other available therapies, including any new drugs or therapeutic biologics that may be approved for the indications being investigated by us, and other factors, such as the COVID-19 pandemic, over which we have no control. Furthermore, we are relying and expect to continue to rely on our collaborators, CROs, and clinical trial sites to ensure the proper and timely conduct of our current and future clinical trials, including the patient enrollment process, and we have limited influence over their performance. Additionally, we could encounter delays if treating physicians encounter unresolved ethical issues associated with enrolling patients in our current and future clinical trials of our product candidates in lieu of prescribing existing treatments that have established safety and efficacy profiles.</w:t>
      </w:r>
    </w:p>
    <w:p>
      <w:pPr>
        <w:spacing w:after="0" w:line="18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could also encounter delays if a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87" w:lineRule="exact"/>
        <w:rPr>
          <w:sz w:val="20"/>
          <w:szCs w:val="20"/>
          <w:color w:val="auto"/>
        </w:rPr>
      </w:pPr>
    </w:p>
    <w:p>
      <w:pPr>
        <w:ind w:left="60" w:right="219"/>
        <w:spacing w:after="0" w:line="249" w:lineRule="auto"/>
        <w:rPr>
          <w:sz w:val="20"/>
          <w:szCs w:val="20"/>
          <w:color w:val="auto"/>
        </w:rPr>
      </w:pPr>
      <w:r>
        <w:rPr>
          <w:rFonts w:ascii="Arial" w:cs="Arial" w:eastAsia="Arial" w:hAnsi="Arial"/>
          <w:sz w:val="18"/>
          <w:szCs w:val="18"/>
          <w:b w:val="1"/>
          <w:bCs w:val="1"/>
          <w:i w:val="1"/>
          <w:iCs w:val="1"/>
          <w:color w:val="auto"/>
        </w:rPr>
        <w:t>As an organization, we have limited experience designing and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16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design and implementation of clinical trials is a complex process. While the employees who will implement our clinical trials have experience in the field, we, as an organization, have only recently initiated our first clinical trial. We have limited experience designing and no experience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459"/>
        <w:spacing w:after="0" w:line="256"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15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is available.</w:t>
      </w:r>
    </w:p>
    <w:p>
      <w:pPr>
        <w:spacing w:after="0" w:line="18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Preliminary or interim data from clinical trials is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spacing w:after="0" w:line="17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187" w:lineRule="exact"/>
        <w:rPr>
          <w:sz w:val="20"/>
          <w:szCs w:val="20"/>
          <w:color w:val="auto"/>
        </w:rPr>
      </w:pPr>
    </w:p>
    <w:p>
      <w:pPr>
        <w:ind w:left="60" w:right="279"/>
        <w:spacing w:after="0" w:line="278" w:lineRule="auto"/>
        <w:rPr>
          <w:sz w:val="20"/>
          <w:szCs w:val="20"/>
          <w:color w:val="auto"/>
        </w:rPr>
      </w:pPr>
      <w:r>
        <w:rPr>
          <w:rFonts w:ascii="Arial" w:cs="Arial" w:eastAsia="Arial" w:hAnsi="Arial"/>
          <w:sz w:val="18"/>
          <w:szCs w:val="18"/>
          <w:b w:val="1"/>
          <w:bCs w:val="1"/>
          <w:i w:val="1"/>
          <w:iCs w:val="1"/>
          <w:color w:val="auto"/>
        </w:rPr>
        <w:t>Beyond CNTY-101, we may not be able to file our INDs to commence clinical trials on the timelines we expect, and even if we are able to, the FDA may not permit us to proceed.</w:t>
      </w:r>
    </w:p>
    <w:p>
      <w:pPr>
        <w:spacing w:after="0" w:line="13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expect our pipeline to yield multiple additional INDs, including INDs for CNTY-102, CNTY-104, CNTY-106 and CNTY-107 product candidates from our iPSC-derived allogeneic cell therapy platforms. We cannot be sure that submission of an IND will result in the FDA allowing testing and clinical trials to begin, or that, once begun, issues will not arise that result in suspension or termination of such clinical trials. The manufacturing of our product candidates remains an emerging and evolving field. Accordingly, we expect chemistry, manufacturing and control related topics, including product specifications, will be a focus of IND reviews, and unfavorable findings may delay or prevent the FDA from allowing us to proceed with clinical trials. Additionally, even if such regulatory authorities agree with the design and implementation of the clinical trials set forth in an IND or clinical trial application, or CTA, we cannot guarantee that such regulatory authorities will not change their requirements in the future.</w:t>
      </w:r>
    </w:p>
    <w:p>
      <w:pPr>
        <w:spacing w:after="0" w:line="18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We focus on the development of programmed cellular immunotherapies for patients with cancer, including off-the-shelf NK- and T-cell product candidates derived from clonal master engineered iPSC lines. Because our iPSC-derived allogeneic cell therapy platforms are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Due to these factors, our spending on current and future research and development programs and product candidates and the scientific innovation arising from these expenditures may not yield commercially viable product candidates.</w:t>
      </w:r>
    </w:p>
    <w:p>
      <w:pPr>
        <w:spacing w:after="0" w:line="188" w:lineRule="exact"/>
        <w:rPr>
          <w:sz w:val="20"/>
          <w:szCs w:val="20"/>
          <w:color w:val="auto"/>
        </w:rPr>
      </w:pPr>
    </w:p>
    <w:p>
      <w:pPr>
        <w:ind w:left="60" w:right="179"/>
        <w:spacing w:after="0" w:line="256" w:lineRule="auto"/>
        <w:rPr>
          <w:sz w:val="20"/>
          <w:szCs w:val="20"/>
          <w:color w:val="auto"/>
        </w:rPr>
      </w:pPr>
      <w:r>
        <w:rPr>
          <w:rFonts w:ascii="Arial" w:cs="Arial" w:eastAsia="Arial" w:hAnsi="Arial"/>
          <w:sz w:val="18"/>
          <w:szCs w:val="18"/>
          <w:b w:val="1"/>
          <w:bCs w:val="1"/>
          <w:i w:val="1"/>
          <w:iCs w:val="1"/>
          <w:color w:val="auto"/>
        </w:rPr>
        <w:t>We intend to study our product candidates in patient populations with significant comorbidities that may result in deaths or serious adverse events or unacceptable side effects and require us to abandon or limit our clinical development activities.</w:t>
      </w:r>
    </w:p>
    <w:p>
      <w:pPr>
        <w:spacing w:after="0" w:line="15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Patients we intend to treat with our product candidates may also receive chemotherapy, radiation, and/or other cell therapy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if approved. Any inability to advance our existing product candidates or any other product candidate through clinical development would have a material adverse effect on our business.</w:t>
      </w:r>
    </w:p>
    <w:p>
      <w:pPr>
        <w:spacing w:after="0" w:line="182" w:lineRule="exact"/>
        <w:rPr>
          <w:sz w:val="20"/>
          <w:szCs w:val="20"/>
          <w:color w:val="auto"/>
        </w:rPr>
      </w:pPr>
    </w:p>
    <w:p>
      <w:pPr>
        <w:ind w:left="60" w:right="419"/>
        <w:spacing w:after="0" w:line="309" w:lineRule="auto"/>
        <w:rPr>
          <w:sz w:val="20"/>
          <w:szCs w:val="20"/>
          <w:color w:val="auto"/>
        </w:rPr>
      </w:pPr>
      <w:r>
        <w:rPr>
          <w:rFonts w:ascii="Arial" w:cs="Arial" w:eastAsia="Arial" w:hAnsi="Arial"/>
          <w:sz w:val="17"/>
          <w:szCs w:val="17"/>
          <w:b w:val="1"/>
          <w:bCs w:val="1"/>
          <w:i w:val="1"/>
          <w:iCs w:val="1"/>
          <w:color w:val="auto"/>
        </w:rPr>
        <w:t>We may experience difficulties identifying and enrolling patients in our clinical trials. Difficulty in enrolling patients could delay or prevent clinical trials of CNTY-101 or our other product candidates.</w:t>
      </w:r>
    </w:p>
    <w:p>
      <w:pPr>
        <w:spacing w:after="0" w:line="11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Identifying and qualifying patients to participate in clinical trials of CNTY-101 is critical to our success. The timing of our clinical trials depends in part on the speed at which we can recruit patients to participate in testing CNTY-101, and we may experience delays in our clinical trials if we encounter difficulties in enrollment. The eligibility criteria of our clinical trials may limit the pool of available study participants as it will require patients to have specific characteristics that we can measure to ensure their disease is either severe enough or not too advanced to include them in a clinical trial. The process of finding and diagnosing patients may prove costly.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our trials for any reason, the timeline for recruiting patients, conducting trials, and obtaining regulatory approval of potential products may be delayed, the commercial prospects of CNTY-101 or our other product candidates will be harmed, and our ability to generate product revenue from any of these product candidates could be delayed or prevented. Furthermore, our inability to enroll a sufficient number of patients for our clinical trials could result in significant delays or may require us to abandon one or more clinical trials altogether. Enrollment delays in our clinical trials may result in increased development costs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CNTY-101 or our other product candidates. Any of these occurrences may harm our business, financial condition, and prospects significantly.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79"/>
        <w:spacing w:after="0" w:line="256" w:lineRule="auto"/>
        <w:rPr>
          <w:sz w:val="20"/>
          <w:szCs w:val="20"/>
          <w:color w:val="auto"/>
        </w:rPr>
      </w:pPr>
      <w:r>
        <w:rPr>
          <w:rFonts w:ascii="Arial" w:cs="Arial" w:eastAsia="Arial" w:hAnsi="Arial"/>
          <w:sz w:val="18"/>
          <w:szCs w:val="18"/>
          <w:b w:val="1"/>
          <w:bCs w:val="1"/>
          <w:i w:val="1"/>
          <w:iCs w:val="1"/>
          <w:color w:val="auto"/>
        </w:rPr>
        <w:t>CNTY-101 and our other product candidates may cause adverse events or undesirable side effects that could delay or prevent its regulatory approval, limit the commercial profile of an approved label, or result in significant negative consequences following marketing approval, if any.</w:t>
      </w:r>
    </w:p>
    <w:p>
      <w:pPr>
        <w:spacing w:after="0" w:line="159"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Cell therapy is still a relatively new approach to disease treatment and adverse side effects could develop. There also is the potential risk of delayed adverse events following exposure to cell therapy products due to persistent biologic activity of the genetic material or other components of products used to carry the genetic material.</w:t>
      </w:r>
    </w:p>
    <w:p>
      <w:pPr>
        <w:spacing w:after="0" w:line="174"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have been collecting data about CNTY-101 in preclinical studies and will continue to do so in clinical trials including Elipse-1. We began dosing patients in February 2023 in our Elipse-1 clinical trial. Prior to the first-in-human study, we have only evaluated CNTY-101 in preclinical mouse models and we therefore do not know the side effect profile of our products in humans. Accordingly, we may experience unexpected side effects and/or higher levels of known side effects in clinical trials, including adverse events known in cell therapies. These include the potential for, among others, cytokine release syndrome, or CRS, and neurotoxicity, or immune effector cell-associated neurotoxicity syndrome. B-cell directed therapies may also demonstrate infusion reactions/hypersensitivity, serious infections, prolonged cytopenias, hypogammaglobulinemia/B-cell aplasia, and secondary malignancies.</w:t>
      </w:r>
    </w:p>
    <w:p>
      <w:pPr>
        <w:spacing w:after="0" w:line="18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Any adverse events or undesirable side effects caused by, or other unexpected properties of, CNTY-101 or our other product candidates could cause us, any future collaborators, an IRB, or ethics committee or regulatory authorities to interrupt, delay, or halt clinical trials of our product candidates and could result in a more restrictive label or the delay or denial of regulatory approval by the FDA or other regulatory authorities. It is possible that as we progress CNTY-101 or our other product candidates through preclinical and clinical development, or as the use of CNTY-101 or our other product candidates become more widespread if it receives regulatory approval, illnesses, injuries, discomforts, and other adverse events that were not observed in preclinical studies or clinical trials, as well as conditions that did not occur or went undetected, will be reported by patients. If such side effects become known later in development or after approval, such findings may harm our business, financial condition, and prospects significantly. Further, if a serious safety issue is identified in connection with the use of CNTY-101 or our other product candidates commercially or in third-party clinical trials elsewhere, such issues may adversely affect the development potential of CNTY-101 or our other product candidates or result in regulatory authorities restricting our ability to develop or commercialize CNTY-101 or our other product candidates.</w:t>
      </w:r>
    </w:p>
    <w:p>
      <w:pPr>
        <w:spacing w:after="0" w:line="189"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Further, if CNTY-101 or any of our other product candidates were to receive regulatory approval and we or others identify undesirable side effects caused by the product (or any other product) after the approval, a number of potentially significant negative consequences could result, including:</w:t>
      </w:r>
    </w:p>
    <w:p>
      <w:pPr>
        <w:spacing w:after="0" w:line="169" w:lineRule="exact"/>
        <w:rPr>
          <w:sz w:val="20"/>
          <w:szCs w:val="20"/>
          <w:color w:val="auto"/>
        </w:rPr>
      </w:pPr>
    </w:p>
    <w:p>
      <w:pPr>
        <w:ind w:left="60" w:right="399" w:firstLine="638"/>
        <w:spacing w:after="0" w:line="271" w:lineRule="auto"/>
        <w:tabs>
          <w:tab w:leader="none" w:pos="13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request that we recall or withdraw the product from the market or may limit the approval of the product through labeling or other means;</w:t>
      </w:r>
    </w:p>
    <w:p>
      <w:pPr>
        <w:spacing w:after="0" w:line="153" w:lineRule="exact"/>
        <w:rPr>
          <w:rFonts w:ascii="Arial" w:cs="Arial" w:eastAsia="Arial" w:hAnsi="Arial"/>
          <w:sz w:val="18"/>
          <w:szCs w:val="18"/>
          <w:color w:val="auto"/>
        </w:rPr>
      </w:pPr>
    </w:p>
    <w:p>
      <w:pPr>
        <w:ind w:left="60" w:right="419" w:firstLine="638"/>
        <w:spacing w:after="0" w:line="271" w:lineRule="auto"/>
        <w:tabs>
          <w:tab w:leader="none" w:pos="13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 or a precaution;</w:t>
      </w:r>
    </w:p>
    <w:p>
      <w:pPr>
        <w:spacing w:after="0" w:line="153" w:lineRule="exact"/>
        <w:rPr>
          <w:rFonts w:ascii="Arial" w:cs="Arial" w:eastAsia="Arial" w:hAnsi="Arial"/>
          <w:sz w:val="18"/>
          <w:szCs w:val="18"/>
          <w:color w:val="auto"/>
        </w:rPr>
      </w:pPr>
    </w:p>
    <w:p>
      <w:pPr>
        <w:ind w:left="60" w:right="559" w:firstLine="638"/>
        <w:spacing w:after="0" w:line="271" w:lineRule="auto"/>
        <w:tabs>
          <w:tab w:leader="none" w:pos="13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decide to recall or remove the product from the marketplace;</w:t>
      </w:r>
    </w:p>
    <w:p>
      <w:pPr>
        <w:spacing w:after="0" w:line="211" w:lineRule="exact"/>
        <w:rPr>
          <w:rFonts w:ascii="Arial" w:cs="Arial" w:eastAsia="Arial" w:hAnsi="Arial"/>
          <w:sz w:val="18"/>
          <w:szCs w:val="18"/>
          <w:color w:val="auto"/>
        </w:rPr>
      </w:pPr>
    </w:p>
    <w:p>
      <w:pPr>
        <w:ind w:left="60" w:right="419" w:firstLine="638"/>
        <w:spacing w:after="0" w:line="271" w:lineRule="auto"/>
        <w:tabs>
          <w:tab w:leader="none" w:pos="13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and/or held liable for injury caused to individuals exposed to or taking our product candidates;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the public perception of the safety of CNTY-101 or our other product candidates;</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40" w:hanging="642"/>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left="60" w:right="59"/>
        <w:spacing w:after="0" w:line="266"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if approved, and generate revenues, all of which would materially adversely affect our business, financial condition, and results of operations.</w:t>
      </w:r>
    </w:p>
    <w:p>
      <w:pPr>
        <w:spacing w:after="0" w:line="161" w:lineRule="exact"/>
        <w:rPr>
          <w:sz w:val="20"/>
          <w:szCs w:val="20"/>
          <w:color w:val="auto"/>
        </w:rPr>
      </w:pPr>
    </w:p>
    <w:p>
      <w:pPr>
        <w:ind w:left="60" w:right="319"/>
        <w:spacing w:after="0" w:line="256" w:lineRule="auto"/>
        <w:rPr>
          <w:sz w:val="20"/>
          <w:szCs w:val="20"/>
          <w:color w:val="auto"/>
        </w:rPr>
      </w:pPr>
      <w:r>
        <w:rPr>
          <w:rFonts w:ascii="Arial" w:cs="Arial" w:eastAsia="Arial" w:hAnsi="Arial"/>
          <w:sz w:val="18"/>
          <w:szCs w:val="18"/>
          <w:b w:val="1"/>
          <w:bCs w:val="1"/>
          <w:i w:val="1"/>
          <w:iCs w:val="1"/>
          <w:color w:val="auto"/>
        </w:rPr>
        <w:t>Public opinion and scrutiny of cell-based immuno-oncology therapies for treating cancer, or negative clinical trial results from our cell-based therapy competitors, may impact public perception of our company and product candidates, or impair our ability to conduct our business.</w:t>
      </w:r>
    </w:p>
    <w:p>
      <w:pPr>
        <w:spacing w:after="0" w:line="15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Our iPSC-derived allogeneic cell therapy platforms utilize a relatively novel technology involving the genetic modification of iPSC’s and utilization of those modified cells in other individuals, and no iNK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or negative clinical trial results from our cell-based therapy competitors,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185" w:lineRule="exact"/>
        <w:rPr>
          <w:sz w:val="20"/>
          <w:szCs w:val="20"/>
          <w:color w:val="auto"/>
        </w:rPr>
      </w:pPr>
    </w:p>
    <w:p>
      <w:pPr>
        <w:ind w:left="60" w:right="1079"/>
        <w:spacing w:after="0" w:line="278" w:lineRule="auto"/>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39"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lobbying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81" w:lineRule="exact"/>
        <w:rPr>
          <w:sz w:val="20"/>
          <w:szCs w:val="20"/>
          <w:color w:val="auto"/>
        </w:rPr>
      </w:pPr>
    </w:p>
    <w:p>
      <w:pPr>
        <w:ind w:left="60" w:right="239"/>
        <w:spacing w:after="0" w:line="278"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 candidates, if approved, may be delayed.</w:t>
      </w:r>
    </w:p>
    <w:p>
      <w:pPr>
        <w:spacing w:after="0" w:line="13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From time to time, we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and BLA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clinical trials that we conduct that could delay or prevent our ability to receive marketing approval or commercialize our product candidates.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239"/>
        <w:spacing w:after="0" w:line="249" w:lineRule="auto"/>
        <w:rPr>
          <w:sz w:val="20"/>
          <w:szCs w:val="20"/>
          <w:color w:val="auto"/>
        </w:rPr>
      </w:pPr>
      <w:r>
        <w:rPr>
          <w:rFonts w:ascii="Arial" w:cs="Arial" w:eastAsia="Arial" w:hAnsi="Arial"/>
          <w:sz w:val="18"/>
          <w:szCs w:val="18"/>
          <w:b w:val="1"/>
          <w:bCs w:val="1"/>
          <w:i w:val="1"/>
          <w:iCs w:val="1"/>
          <w:color w:val="auto"/>
        </w:rPr>
        <w:t>Changes in regulatory requirements, guidance from the FDA and other regulatory authorities, or unanticipated events during our clinical trials of CNTY-101 or our other product candidates may result in changes to preclinical studies or clinical trials or additional preclinical or clinical trial requirements, which could result in increased costs to us and could delay our development timeline.</w:t>
      </w:r>
    </w:p>
    <w:p>
      <w:pPr>
        <w:spacing w:after="0" w:line="165"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Regulatory requirements governing biologic drug products, including cell therapy products, are still evolving and it is difficult to determine how long it will take or how much it will cost to obtain regulatory approvals for CNTY-101 or our other product candidates. Changes in regulatory requirements, FDA guidance or guidance from other regulatory agencies, or unanticipated events during our preclinical studies or clinical trials may force us to terminate or adjust our development program.</w:t>
      </w:r>
    </w:p>
    <w:p>
      <w:pPr>
        <w:spacing w:after="0" w:line="1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addition, the clinical trial requirements of the FDA and foreign regulatory authorities and the criteria these regulators use to determine the safety and efficacy of a product candidate vary substantially according to the type, complexity, novelty, intended use, and market of such product candidates. The regulatory approval process for novel product candidates such as ours can be more expensive and take longer than for other, better known or more extensively studied product candidates. The FDA, or the applicable regulatory authorities, may impose additional preclinical or clinical trial requirements. Amendments to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preclinical or clinical trials, the commercial prospects for CNTY-101 or our other product candidates may be harmed and our ability to generate product revenue will be delayed, and it would materially adversely affect our business, financial condition, and results of operations.</w:t>
      </w:r>
    </w:p>
    <w:p>
      <w:pPr>
        <w:spacing w:after="0" w:line="18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order to market any product outside of the United States, we must comply with numerous and varying regulatory requirements of other countries regarding biologic development and commercialization.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87" w:lineRule="exact"/>
        <w:rPr>
          <w:sz w:val="20"/>
          <w:szCs w:val="20"/>
          <w:color w:val="auto"/>
        </w:rPr>
      </w:pPr>
    </w:p>
    <w:p>
      <w:pPr>
        <w:ind w:left="60" w:right="239"/>
        <w:spacing w:after="0" w:line="24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16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for 35 days beginning on December 22, 2018, the United States government has shut down several times and certain regulatory agencies, such as the FDA, have had to furlough critical FDA employees and stop critical activities.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Separately, in response to the COVID-19 pandemic, the FDA postponed most inspections at domestic and foreign manufacturing facilities from March 2020 until July 2021. Even though the FDA has since resumed standard inspection operations of domestic facilities where feasible, the FDA has continued to monitor and implement changes to its inspectional activities to ensure the safety of its employees and those of the firms it regulates, and any resurgence of the virus may lead to further inspectional delays. Regulatory authorities outside the United States have adopted similar restrictions or other policy measures in response to the COVID-19 pandemic.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2" w:lineRule="exact"/>
        <w:rPr>
          <w:sz w:val="20"/>
          <w:szCs w:val="20"/>
          <w:color w:val="auto"/>
        </w:rPr>
      </w:pPr>
    </w:p>
    <w:p>
      <w:pPr>
        <w:ind w:left="60" w:right="899"/>
        <w:spacing w:after="0" w:line="278"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supervise, and monitor our preclinical studies and clinical trials for our product candidates.</w:t>
      </w:r>
    </w:p>
    <w:p>
      <w:pPr>
        <w:spacing w:after="0" w:line="13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rely on third-party CROs, study sites, and others to conduct, supervise, and monitor our preclinical studies and clinical trials for our product candidates. We expect to continue to rely on third parties, such as CROs, clinical data management organizations, medical institutions, and clinical investigators, to conduct our preclinical studies and clinical trials of our product candidates. Although we have agreements with these third parties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preclinical studies and clinical trials required to support future approval of CNTY-101 and our other product candidates, or we may not obtain marketing approval for, or commercialize, CNTY-101 and our other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and prospects may be materially harmed.</w:t>
      </w:r>
    </w:p>
    <w:p>
      <w:pPr>
        <w:spacing w:after="0" w:line="180"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preclinical studies and clinical trials is conducted in accordance with the general investigational plan and protocols for such trial. We must also ensure that our preclinical studies and clinical trials are conducted in accordance with cGLP regulations, as appropriate. Moreover, the FDA and comparable foreign regulatory authorities require us to comply with cGCPs for conducting, recording, and reporting the results of clinical trials to ensure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cGCPs or other regulatory requirements, we or they may be subject to enforcement or other legal actions, the data generated in our preclinical studies and clinical trials may be deemed unreliable and the FDA, or comparable foreign regulatory authorities may require us to perform additional studies.</w:t>
      </w:r>
    </w:p>
    <w:p>
      <w:pPr>
        <w:spacing w:after="0" w:line="189"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174"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We cannot assure you that upon inspection by a given regulatory authority, such regulatory authority will determine that any of our clinical trials will comply with the applicable regulatory requirements. In addition, our clinical trials must be conducted with product candidates that were produced under cGMP regulations.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www.clinicaltrials.gov, within specified timeframes. Failure to do so can result in enforcement actions and adverse publicity.</w:t>
      </w:r>
    </w:p>
    <w:p>
      <w:pPr>
        <w:spacing w:after="0" w:line="17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developmental and preclinical programs. If these third parties do not successfully carry out their contractual duties, meet expected deadlines, or conduct our preclinical studies or clinical trials in accordance with regulatory requirements or our stated protocols, if these parties are adversely impacted by macroeconomic or other factors limiting or materially affecting their ability to carry out their contractual duties, if they need to be replaced or if the quality or accuracy of the data they obtain is compromised due to the failure to adhere to our protocols, regulatory requirements or for other reasons, our preclinical studies and clinical trials may be repeated, extended, delayed, or terminated; we may not be able to obtain, or may be delayed in obtaining, marketing approvals for CNTY-101 and our other product candidates; we may not be able to, or may be delayed in our efforts to, successfully commercialize CNTY-101 or our other product candidates; or we or they may be subject to regulatory enforcement actions. As a result, our results of operations and the commercial prospects for CNTY-101 and our other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and prospects may be materially harmed.</w:t>
      </w:r>
    </w:p>
    <w:p>
      <w:pPr>
        <w:spacing w:after="0" w:line="18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178" w:lineRule="exact"/>
        <w:rPr>
          <w:sz w:val="20"/>
          <w:szCs w:val="20"/>
          <w:color w:val="auto"/>
        </w:rPr>
      </w:pPr>
    </w:p>
    <w:p>
      <w:pPr>
        <w:ind w:left="60" w:right="199"/>
        <w:spacing w:after="0" w:line="256"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auto"/>
        </w:rPr>
        <w:t>Because we have limited financial and managerial resources, we focus on research programs, therapeutic platforms, and product candidates that we identify for specific indications. As a result, we may forego or delay our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including intellectual property rights, to that product candidate through collaboration, licensing, or other royalty arrangements in cases in which it would have been more advantageous for us to retain sole development and commercialization rights.</w:t>
      </w:r>
    </w:p>
    <w:p>
      <w:pPr>
        <w:spacing w:after="0" w:line="174" w:lineRule="exact"/>
        <w:rPr>
          <w:sz w:val="20"/>
          <w:szCs w:val="20"/>
          <w:color w:val="auto"/>
        </w:rPr>
      </w:pPr>
    </w:p>
    <w:p>
      <w:pPr>
        <w:jc w:val="both"/>
        <w:ind w:left="60" w:right="139"/>
        <w:spacing w:after="0" w:line="256" w:lineRule="auto"/>
        <w:rPr>
          <w:sz w:val="20"/>
          <w:szCs w:val="20"/>
          <w:color w:val="auto"/>
        </w:rPr>
      </w:pPr>
      <w:r>
        <w:rPr>
          <w:rFonts w:ascii="Arial" w:cs="Arial" w:eastAsia="Arial" w:hAnsi="Arial"/>
          <w:sz w:val="18"/>
          <w:szCs w:val="18"/>
          <w:b w:val="1"/>
          <w:bCs w:val="1"/>
          <w:i w:val="1"/>
          <w:iCs w:val="1"/>
          <w:color w:val="auto"/>
        </w:rPr>
        <w:t>We are party to a Collaboration Agreement with Bristol-Myers Squibb, and pursuant to the terms of that agreement, could become dependent on Bristol-Myers Squibb for development and commercialization activities with respect to certain of our product candidates.</w:t>
      </w:r>
    </w:p>
    <w:p>
      <w:pPr>
        <w:spacing w:after="0" w:line="159" w:lineRule="exact"/>
        <w:rPr>
          <w:sz w:val="20"/>
          <w:szCs w:val="20"/>
          <w:color w:val="auto"/>
        </w:rPr>
      </w:pPr>
    </w:p>
    <w:p>
      <w:pPr>
        <w:ind w:left="60" w:right="239"/>
        <w:spacing w:after="0" w:line="266" w:lineRule="auto"/>
        <w:rPr>
          <w:sz w:val="20"/>
          <w:szCs w:val="20"/>
          <w:color w:val="auto"/>
        </w:rPr>
      </w:pPr>
      <w:r>
        <w:rPr>
          <w:rFonts w:ascii="Arial" w:cs="Arial" w:eastAsia="Arial" w:hAnsi="Arial"/>
          <w:sz w:val="17"/>
          <w:szCs w:val="17"/>
          <w:color w:val="auto"/>
        </w:rPr>
        <w:t>We are party to a Research, Collaboration and License Agreement with Bristol-Myers Squibb, or the Collaboration Agreement, pursuant to which we agreed to collaborate on the research, development and commercialization of iNK and iT cell programs for hematologic malignancies and solid tumors. Pursuant to the Collaboration Agreement, Bristol-Myers Squibb will initially collaborate with us on two collaboration programs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and has the option to add up to two additional collaboration programs, for an additional fee. We are responsible for generating development candidates for the collaboration programs with Bristol-Myers Squibb. Once a development candidate meets certain criteria, Bristol-Myers Squibb has the option to exclusively license the development candidates for pre-clinical development, clinical development and commercialization on a worldwide basis. Upon the exercise by Bristol-Myers Squibb of its option for a development candidate, Bristol-Myers Squibb will be responsible for all regulatory, clinical, manufacturing (after a proof of concept clinical trial) and commercialization activities with respect to that development candidate, subject to the terms of the Collaboration Agreement. Bristol-Myers Squibb may elect not to exercise its option and we may not obtain all the intellectual property rights required to develop the product candidates on our own. We cannot control whether Bristol-Myers Squibb will devote sufficient attention or resources to this collaboration or will proceed in an expeditious manner. Even if the FDA or other regulatory agencies approve any of the licensed product candidates, Bristol-Myers Squibb may elect not to proceed with the commercialization of the resulting product in one or more countries.</w:t>
      </w:r>
    </w:p>
    <w:p>
      <w:pPr>
        <w:spacing w:after="0" w:line="18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Under the Collaboration Agreement, Bristol-Myers Squibb paid us an upfront payment of $100 million. In addition to the upfront payment, we may receive development and regulatory milestone payments of up to an additional $235 million. We will also be eligible to receive up to an additional $500 million in payments upon the achievement of certain sales milestones. We will also be entitled to receive, subject to certain reductions, tiered royalties ranging from high-single digits up to low-teens as percentages net sales, if any, on any licensed product generated pursuant to the Collaboration Agreement. The milestones that trigger a payment or royalties under the Collaboration Agreement may never be reached and failure to do so could harm our business and financial condition.</w:t>
      </w:r>
    </w:p>
    <w:p>
      <w:pPr>
        <w:spacing w:after="0" w:line="18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Bristol-Myers Squibb has customary rights to terminate the Collaboration Agreement and if Bristol-Myers Squibb terminates the Collaboration Agreement, it will result in a delay in or could prevent us from developing or commercializing the product candidates subject to the Collaboration Agreement. Further, disputes may arise between us and Bristol-Myers Squibb, which may delay or cause the termination of this collaboration, result in significant litigation, cause Bristol-Myers Squibb to act in a manner that is not in our best interest or cause us to seek another collaborator or proceed with development, commercialization and funding on our own. If we seek a new collaborator but are unable to do so on acceptable terms, or at all, or do not have sufficient funds to conduct the development or commercialization of such development candidates we may have to curtail or abandon that development or commercialization, which could harm our business.</w:t>
      </w:r>
    </w:p>
    <w:p>
      <w:pPr>
        <w:spacing w:after="0" w:line="185" w:lineRule="exact"/>
        <w:rPr>
          <w:sz w:val="20"/>
          <w:szCs w:val="20"/>
          <w:color w:val="auto"/>
        </w:rPr>
      </w:pPr>
    </w:p>
    <w:p>
      <w:pPr>
        <w:jc w:val="both"/>
        <w:ind w:left="60" w:right="139"/>
        <w:spacing w:after="0" w:line="256" w:lineRule="auto"/>
        <w:rPr>
          <w:sz w:val="20"/>
          <w:szCs w:val="20"/>
          <w:color w:val="auto"/>
        </w:rPr>
      </w:pPr>
      <w:r>
        <w:rPr>
          <w:rFonts w:ascii="Arial" w:cs="Arial" w:eastAsia="Arial" w:hAnsi="Arial"/>
          <w:sz w:val="18"/>
          <w:szCs w:val="18"/>
          <w:b w:val="1"/>
          <w:bCs w:val="1"/>
          <w:i w:val="1"/>
          <w:iCs w:val="1"/>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59" w:lineRule="exact"/>
        <w:rPr>
          <w:sz w:val="20"/>
          <w:szCs w:val="20"/>
          <w:color w:val="auto"/>
        </w:rPr>
      </w:pPr>
    </w:p>
    <w:p>
      <w:pPr>
        <w:ind w:left="60" w:right="139"/>
        <w:spacing w:after="0" w:line="257" w:lineRule="auto"/>
        <w:rPr>
          <w:sz w:val="20"/>
          <w:szCs w:val="20"/>
          <w:color w:val="auto"/>
        </w:rPr>
      </w:pPr>
      <w:r>
        <w:rPr>
          <w:rFonts w:ascii="Arial" w:cs="Arial" w:eastAsia="Arial" w:hAnsi="Arial"/>
          <w:sz w:val="17"/>
          <w:szCs w:val="17"/>
          <w:color w:val="auto"/>
        </w:rPr>
        <w:t>Our business strategy includes leveraging our strategic partnership with Bristol-Myers Squibb and FUJIFILM Cellular Dynamics Inc., or FCDI, and may include additional future partnerships for product development, product commercialization, manufacturing or other strategic objectives. As a result, we may in the future determine to collaborate with additional companies for development and potential commercialization of one or more therapeutic products. At the current time however, we cannot predict what form such a strategic collaboration might take. We are likely to face significant competition in seeking appropriate strategic collaborators, and strategic collaborations can be complicated and time-consuming to negotiate and document.</w:t>
      </w:r>
    </w:p>
    <w:p>
      <w:pPr>
        <w:spacing w:after="0" w:line="168" w:lineRule="exact"/>
        <w:rPr>
          <w:sz w:val="20"/>
          <w:szCs w:val="20"/>
          <w:color w:val="auto"/>
        </w:rPr>
      </w:pPr>
    </w:p>
    <w:p>
      <w:pPr>
        <w:ind w:left="60" w:right="299"/>
        <w:spacing w:after="0" w:line="256" w:lineRule="auto"/>
        <w:rPr>
          <w:sz w:val="20"/>
          <w:szCs w:val="20"/>
          <w:color w:val="auto"/>
        </w:rPr>
      </w:pPr>
      <w:r>
        <w:rPr>
          <w:rFonts w:ascii="Arial" w:cs="Arial" w:eastAsia="Arial" w:hAnsi="Arial"/>
          <w:sz w:val="17"/>
          <w:szCs w:val="17"/>
          <w:color w:val="auto"/>
        </w:rPr>
        <w:t>We may not be able to negotiate strategic collaborations on acceptable terms, if at all.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one or more of our other development programs, delay our potential commercialization or reduce the scope of any sales or marketing activities, or increase our expenditures and undertake development or commercialization activities at our own expense. If we elect to fund and undertake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79"/>
        <w:spacing w:after="0" w:line="242" w:lineRule="auto"/>
        <w:rPr>
          <w:sz w:val="20"/>
          <w:szCs w:val="20"/>
          <w:color w:val="auto"/>
        </w:rPr>
      </w:pPr>
      <w:r>
        <w:rPr>
          <w:rFonts w:ascii="Arial" w:cs="Arial" w:eastAsia="Arial" w:hAnsi="Arial"/>
          <w:sz w:val="18"/>
          <w:szCs w:val="18"/>
          <w:color w:val="auto"/>
        </w:rPr>
        <w:t>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179"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174" w:lineRule="exact"/>
        <w:rPr>
          <w:sz w:val="20"/>
          <w:szCs w:val="20"/>
          <w:color w:val="auto"/>
        </w:rPr>
      </w:pPr>
    </w:p>
    <w:p>
      <w:pPr>
        <w:ind w:left="1340" w:hanging="642"/>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expenditure of substantial operational, financial and management resources;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dilutive issuances of our securities;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actual or contingent liabilities; and</w:t>
      </w:r>
    </w:p>
    <w:p>
      <w:pPr>
        <w:spacing w:after="0" w:line="211" w:lineRule="exact"/>
        <w:rPr>
          <w:rFonts w:ascii="Arial" w:cs="Arial" w:eastAsia="Arial" w:hAnsi="Arial"/>
          <w:sz w:val="18"/>
          <w:szCs w:val="18"/>
          <w:color w:val="auto"/>
        </w:rPr>
      </w:pPr>
    </w:p>
    <w:p>
      <w:pPr>
        <w:ind w:left="60" w:right="499" w:firstLine="638"/>
        <w:spacing w:after="0" w:line="271" w:lineRule="auto"/>
        <w:tabs>
          <w:tab w:leader="none" w:pos="13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or expiration of the arrangement, which would delay the development and may increase the cost of developing our product candidates.</w:t>
      </w:r>
    </w:p>
    <w:p>
      <w:pPr>
        <w:spacing w:after="0" w:line="154" w:lineRule="exact"/>
        <w:rPr>
          <w:sz w:val="20"/>
          <w:szCs w:val="20"/>
          <w:color w:val="auto"/>
        </w:rPr>
      </w:pPr>
    </w:p>
    <w:p>
      <w:pPr>
        <w:ind w:left="60" w:right="379"/>
        <w:spacing w:after="0" w:line="242" w:lineRule="auto"/>
        <w:rPr>
          <w:sz w:val="20"/>
          <w:szCs w:val="20"/>
          <w:color w:val="auto"/>
        </w:rPr>
      </w:pPr>
      <w:r>
        <w:rPr>
          <w:rFonts w:ascii="Arial" w:cs="Arial" w:eastAsia="Arial" w:hAnsi="Arial"/>
          <w:sz w:val="18"/>
          <w:szCs w:val="18"/>
          <w:color w:val="auto"/>
        </w:rPr>
        <w:t>Strategic partners may also delay clinical trials, experience financial difficulties, provide insufficient funding, terminate a clinical trial, or abandon a product candidate, which could negatively impact our development efforts.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179"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Annual Report on Form 10-K also apply to the activities of our program collaborators. Additionally, subject to its contractual obligations to us, if one of our collaborators is involved in a business combination, the collaborator may deemphasize or terminate the development or commercialization of any product candidate licensed to it by us. If our collaborator terminates its agreement with us, it may find it more difficult to attract new collaborators.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manufacturing</w:t>
      </w:r>
    </w:p>
    <w:p>
      <w:pPr>
        <w:spacing w:after="0" w:line="214" w:lineRule="exact"/>
        <w:rPr>
          <w:sz w:val="20"/>
          <w:szCs w:val="20"/>
          <w:color w:val="auto"/>
        </w:rPr>
      </w:pPr>
    </w:p>
    <w:p>
      <w:pPr>
        <w:ind w:left="60" w:right="79"/>
        <w:spacing w:after="0" w:line="256" w:lineRule="auto"/>
        <w:rPr>
          <w:sz w:val="20"/>
          <w:szCs w:val="20"/>
          <w:color w:val="auto"/>
        </w:rPr>
      </w:pPr>
      <w:r>
        <w:rPr>
          <w:rFonts w:ascii="Arial" w:cs="Arial" w:eastAsia="Arial" w:hAnsi="Arial"/>
          <w:sz w:val="18"/>
          <w:szCs w:val="18"/>
          <w:b w:val="1"/>
          <w:bCs w:val="1"/>
          <w:i w:val="1"/>
          <w:iCs w:val="1"/>
          <w:color w:val="auto"/>
        </w:rPr>
        <w:t>The manufacture and distribution of our iPSC-derived cell product candidates is complex and subject to a multitude of risks. These risks could substantially increase our costs and limit the clinical and commercial supply of our product candidates.</w:t>
      </w:r>
    </w:p>
    <w:p>
      <w:pPr>
        <w:spacing w:after="0" w:line="15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manufacture and supply of our product candidates involve novel processes that are more complex than those required for most drugs, biologics and other cellular immunotherapies and, accordingly, present significant challenges and are subject to multiple risks. These complex processes include reprogramming human somatic cells to obtain iPSCs, genetically engineering these iPSCs, and differentiating the iPSCs to obtain the desired product candidate. As a result of the complexities in manufacturing biologics and distributing cell therapies, the cost to manufacture and distribute biologics and cell therapies in general, and our cell product candidates in particular, is generally higher than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have limited experience in the manufacture of cell-based therapies. We are still developing optimized and reproducible manufacturing processes for clinical and commercial-scale manufacturing of our product candidates, and none of our manufacturing processes have been validated for commercial production of our product candidates. In addition, we are still optimizing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18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may make changes as we continue to develop and refine the manufacturing and distribution processes for our product candidates for clinical trials and commercialization, and we cannot be sure that even minor changes in these processes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185" w:lineRule="exact"/>
        <w:rPr>
          <w:sz w:val="20"/>
          <w:szCs w:val="20"/>
          <w:color w:val="auto"/>
        </w:rPr>
      </w:pPr>
    </w:p>
    <w:p>
      <w:pPr>
        <w:ind w:left="60" w:right="119"/>
        <w:spacing w:after="0" w:line="245" w:lineRule="auto"/>
        <w:rPr>
          <w:sz w:val="20"/>
          <w:szCs w:val="20"/>
          <w:color w:val="auto"/>
        </w:rPr>
      </w:pPr>
      <w:r>
        <w:rPr>
          <w:rFonts w:ascii="Arial" w:cs="Arial" w:eastAsia="Arial" w:hAnsi="Arial"/>
          <w:sz w:val="18"/>
          <w:szCs w:val="18"/>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pacing w:after="0" w:line="17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Manufacturing our product candidates requires many reagents and other specialty materials and equipment, some of which are manufactured or supplied by small companies with limited resources and experience to support commercial biologics production. To date, we and our clinical cell processing facilities and CMOs have purchased equipment, materials, and disposables, such as automated cell washing devices, automated cell warming units, commercially available media, and cell transfer and wash sets, used for the manufacture of our existing product candidates from third-party suppliers.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 party for the supply of certain required components, including our pharmacologic modulators and components for our cell processing media. As a result of the lingering effects of the recent COVID-19 pandemic and other factors, the business and operations of our suppliers may be disrupted or delayed, and we in turn may experience disruptions or delays in our supply chain. An inability to continue to source product from any of these suppliers, which could be due to the impacts of global pandemics, macroeconomic factors, recent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182" w:lineRule="exact"/>
        <w:rPr>
          <w:sz w:val="20"/>
          <w:szCs w:val="20"/>
          <w:color w:val="auto"/>
        </w:rPr>
      </w:pPr>
    </w:p>
    <w:p>
      <w:pPr>
        <w:ind w:left="60" w:right="59"/>
        <w:spacing w:after="0" w:line="256" w:lineRule="auto"/>
        <w:rPr>
          <w:sz w:val="20"/>
          <w:szCs w:val="20"/>
          <w:color w:val="auto"/>
        </w:rPr>
      </w:pPr>
      <w:r>
        <w:rPr>
          <w:rFonts w:ascii="Arial" w:cs="Arial" w:eastAsia="Arial" w:hAnsi="Arial"/>
          <w:sz w:val="18"/>
          <w:szCs w:val="18"/>
          <w:b w:val="1"/>
          <w:bCs w:val="1"/>
          <w:i w:val="1"/>
          <w:iCs w:val="1"/>
          <w:color w:val="auto"/>
        </w:rPr>
        <w:t>We rely on third parties for the manufacture of some of our product candidates for development, and we are beginning to operate our own manufacturing facility for the production of certain of our product candidates.</w:t>
      </w:r>
    </w:p>
    <w:p>
      <w:pPr>
        <w:spacing w:after="0" w:line="15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are now operating our own manufacturing facilities and but still rely on FCDI for the manufacture of some of our product candidates and CMOs for the manufacture of related raw materials for clinical and preclinical development. It is uncertain whether we will be able to utilize our own manufacturing facilities for commercial manufacturing of our products and therefore, we may need to rely on third parties for commercial manufacturing if any of our product candidates receive marketing approval. We have partnered with FCDI for the manufacture and supply of some of our product candidates for future clinical development, as well as to establish commercial supplies of our product candidates, if approved. If either of our Manufacturing Agreement or Master Collaboration Agreement with FCDI terminates, and if we need to enter into alternative arrangements, our product development activities could be delayed and our business, financial condition, results of operations, and prospects may be materially harmed. We completed construction of our own 53,000 square foot cGMP manufacturing facility in Branchburg, New Jersey as well as the fit-out and qualifications for the facility in 2022 and the facility is operational. However, we are only beginning to gain operational experience in the facility and there can be no assurance that we will be able to reliably manufacture our product candidates in this facility in a timely manner, or at all.</w:t>
      </w:r>
    </w:p>
    <w:p>
      <w:pPr>
        <w:spacing w:after="0" w:line="1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facilities used by us, FCDI, and any other manufacturers with which we may collaborate must be approved by the FDA pursuant to inspections that will be conducted after we submit a BLA to the FDA. For manufacturing facilities in which we do not operate, we do not control the manufacturing process of, and are completely dependent on, CMOs for compliance with cGMP requirements for the manufacture of biologic products. If these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CMOs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CMO,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188" w:lineRule="exact"/>
        <w:rPr>
          <w:sz w:val="20"/>
          <w:szCs w:val="20"/>
          <w:color w:val="auto"/>
        </w:rPr>
      </w:pPr>
    </w:p>
    <w:p>
      <w:pPr>
        <w:ind w:left="60" w:right="419"/>
        <w:spacing w:after="0" w:line="301" w:lineRule="auto"/>
        <w:rPr>
          <w:sz w:val="20"/>
          <w:szCs w:val="20"/>
          <w:color w:val="auto"/>
        </w:rPr>
      </w:pPr>
      <w:r>
        <w:rPr>
          <w:rFonts w:ascii="Arial" w:cs="Arial" w:eastAsia="Arial" w:hAnsi="Arial"/>
          <w:sz w:val="17"/>
          <w:szCs w:val="17"/>
          <w:color w:val="auto"/>
        </w:rPr>
        <w:t>Our or a CMO’s failure to execute on our manufacturing requirements, to do so on commercially reasonable terms and comply with cGMP could adversely affect our business in a number of ways, including:</w:t>
      </w:r>
    </w:p>
    <w:p>
      <w:pPr>
        <w:spacing w:after="0" w:line="131" w:lineRule="exact"/>
        <w:rPr>
          <w:sz w:val="20"/>
          <w:szCs w:val="20"/>
          <w:color w:val="auto"/>
        </w:rPr>
      </w:pPr>
    </w:p>
    <w:p>
      <w:pPr>
        <w:ind w:left="60" w:right="459" w:firstLine="638"/>
        <w:spacing w:after="0" w:line="271" w:lineRule="auto"/>
        <w:tabs>
          <w:tab w:leader="none" w:pos="13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CNTY-101 or our other product candidates under development;</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our product</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candidates;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699" w:firstLine="638"/>
        <w:spacing w:after="0" w:line="271" w:lineRule="auto"/>
        <w:tabs>
          <w:tab w:leader="none" w:pos="135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211" w:lineRule="exact"/>
        <w:rPr>
          <w:rFonts w:ascii="Arial" w:cs="Arial" w:eastAsia="Arial" w:hAnsi="Arial"/>
          <w:sz w:val="18"/>
          <w:szCs w:val="18"/>
          <w:color w:val="auto"/>
        </w:rPr>
      </w:pPr>
    </w:p>
    <w:p>
      <w:pPr>
        <w:jc w:val="both"/>
        <w:ind w:left="60" w:right="939" w:firstLine="638"/>
        <w:spacing w:after="0" w:line="301" w:lineRule="auto"/>
        <w:tabs>
          <w:tab w:leader="none" w:pos="13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CNTY-101 or our other product candidates, an inability to meet commercial demands for CNTY-101 or our other product candidates.</w:t>
      </w:r>
    </w:p>
    <w:p>
      <w:pPr>
        <w:spacing w:after="0" w:line="131"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Any performance failure on the part of us or our existing or future CMOs could delay clinical development or marketing approval, and any related remedial measures may be costly or time-consuming to implement. If our current CMOs cannot perform as agreed or if our own cGMP manufacturing facility in Branchburg, New Jersey does not operate as expected, we may be required to replace such manufacturers and we may be unable to replace them on a timely basis or at all.</w:t>
      </w:r>
    </w:p>
    <w:p>
      <w:pPr>
        <w:spacing w:after="0" w:line="176"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Our current and anticipated future dependence upon CMOs for the manufacture of our product candidates or products may adversely affect our future profit margins and our ability to commercialize any products that receive marketing approval on a timely and competitive basis.</w:t>
      </w:r>
    </w:p>
    <w:p>
      <w:pPr>
        <w:spacing w:after="0" w:line="171" w:lineRule="exact"/>
        <w:rPr>
          <w:sz w:val="20"/>
          <w:szCs w:val="20"/>
          <w:color w:val="auto"/>
        </w:rPr>
      </w:pPr>
    </w:p>
    <w:p>
      <w:pPr>
        <w:ind w:left="60" w:right="539"/>
        <w:spacing w:after="0" w:line="278" w:lineRule="auto"/>
        <w:rPr>
          <w:sz w:val="20"/>
          <w:szCs w:val="20"/>
          <w:color w:val="auto"/>
        </w:rPr>
      </w:pPr>
      <w:r>
        <w:rPr>
          <w:rFonts w:ascii="Arial" w:cs="Arial" w:eastAsia="Arial" w:hAnsi="Arial"/>
          <w:sz w:val="18"/>
          <w:szCs w:val="18"/>
          <w:b w:val="1"/>
          <w:bCs w:val="1"/>
          <w:i w:val="1"/>
          <w:iCs w:val="1"/>
          <w:color w:val="auto"/>
        </w:rPr>
        <w:t>Delays in commissioning and receiving regulatory approvals for our manufacturing facilities could delay our development plans and thereby limit our ability to generate revenues.</w:t>
      </w:r>
    </w:p>
    <w:p>
      <w:pPr>
        <w:spacing w:after="0" w:line="139"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We believe that internal cGMP manufacturing is important to facilitate clinical product supply, lower the risk of manufacturing disruptions, and enable more cost-effective manufacturing. We believe our Branchburg, New Jersey facility will allow us to supply certain of our product candidates needed for our early-stage clinical trials and preclinical studies. The operation and maintenance, and regulatory approvals for such facilities, require substantial capital and technical expertise and any delay could limit our development activities and our opportunities for growth, or negatively impact our financial results.</w:t>
      </w:r>
    </w:p>
    <w:p>
      <w:pPr>
        <w:spacing w:after="0" w:line="17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Furthermore, our manufacturing facility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product candidates, delays, suspension or withdrawal of approvals, license revocation, seizures or recalls of product candidates, operating restrictions, and criminal prosecutions, any of which could materially adversely affect our business, financial condition, results of operations, and growth prospects.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also may encounter problems with the following:</w:t>
      </w:r>
    </w:p>
    <w:p>
      <w:pPr>
        <w:spacing w:after="0" w:line="212" w:lineRule="exact"/>
        <w:rPr>
          <w:sz w:val="20"/>
          <w:szCs w:val="20"/>
          <w:color w:val="auto"/>
        </w:rPr>
      </w:pPr>
    </w:p>
    <w:p>
      <w:pPr>
        <w:ind w:left="60" w:right="559" w:firstLine="638"/>
        <w:spacing w:after="0" w:line="271" w:lineRule="auto"/>
        <w:tabs>
          <w:tab w:leader="none" w:pos="13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complying with regulations regarding donor traceability, manufacturing, release of product candidates and other requirements from regulatory authorities outside the United States;</w:t>
      </w:r>
    </w:p>
    <w:p>
      <w:pPr>
        <w:spacing w:after="0" w:line="153" w:lineRule="exact"/>
        <w:rPr>
          <w:rFonts w:ascii="Arial" w:cs="Arial" w:eastAsia="Arial" w:hAnsi="Arial"/>
          <w:sz w:val="18"/>
          <w:szCs w:val="18"/>
          <w:color w:val="auto"/>
        </w:rPr>
      </w:pPr>
    </w:p>
    <w:p>
      <w:pPr>
        <w:ind w:left="60" w:right="679" w:firstLine="638"/>
        <w:spacing w:after="0" w:line="271" w:lineRule="auto"/>
        <w:tabs>
          <w:tab w:leader="none" w:pos="13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achieving adequate or clinical-grade materials that meet regulatory agency standards or specifications with consistent and acceptable production yield and costs;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bacterial, fungal, or viral contamination in our manufacturing facility;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shortages of qualified personnel, raw materials, or key contractors.</w:t>
      </w:r>
    </w:p>
    <w:p>
      <w:pPr>
        <w:spacing w:after="0" w:line="21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167" w:lineRule="exact"/>
        <w:rPr>
          <w:sz w:val="20"/>
          <w:szCs w:val="20"/>
          <w:color w:val="auto"/>
        </w:rPr>
      </w:pPr>
    </w:p>
    <w:p>
      <w:pPr>
        <w:ind w:left="60" w:right="799"/>
        <w:spacing w:after="0" w:line="278" w:lineRule="auto"/>
        <w:rPr>
          <w:sz w:val="20"/>
          <w:szCs w:val="20"/>
          <w:color w:val="auto"/>
        </w:rPr>
      </w:pPr>
      <w:r>
        <w:rPr>
          <w:rFonts w:ascii="Arial" w:cs="Arial" w:eastAsia="Arial" w:hAnsi="Arial"/>
          <w:sz w:val="18"/>
          <w:szCs w:val="18"/>
          <w:b w:val="1"/>
          <w:bCs w:val="1"/>
          <w:i w:val="1"/>
          <w:iCs w:val="1"/>
          <w:color w:val="auto"/>
        </w:rPr>
        <w:t>We cryogenically store our CAR-iNK and CAR-iT cells and master and working cell banks of the engineered iPSC cells at both our own manufacturing facility and at third party facilities</w:t>
      </w:r>
    </w:p>
    <w:p>
      <w:pPr>
        <w:spacing w:after="0" w:line="13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CAR-iNK and CAR-iT cells and the master and working cell banks of the engineered iPSC cells are stored in freezers at both third-party biorepositories and in our freezers at our manufacturing facility. If these materials are damaged at either or both our or these third party facilities, including by the loss or malfunction of these freezers or our back-up power systems, as well as by damage from fire, power loss or other natural disasters, we may need to establish replacement CAR-iNK and CAR-iT cells and master and working cell banks of the engineered iPSC cells, which would impact clinical supply and delay patient treatment. If we are unable to establish replacement materials, we could incur significant additional expenses and liability to patients whose treatment is delayed, and our business could suffer.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14" w:lineRule="exact"/>
        <w:rPr>
          <w:sz w:val="20"/>
          <w:szCs w:val="20"/>
          <w:color w:val="auto"/>
        </w:rPr>
      </w:pPr>
    </w:p>
    <w:p>
      <w:pPr>
        <w:ind w:left="60" w:right="119"/>
        <w:spacing w:after="0" w:line="256" w:lineRule="auto"/>
        <w:rPr>
          <w:sz w:val="20"/>
          <w:szCs w:val="20"/>
          <w:color w:val="auto"/>
        </w:rPr>
      </w:pPr>
      <w:r>
        <w:rPr>
          <w:rFonts w:ascii="Arial" w:cs="Arial" w:eastAsia="Arial" w:hAnsi="Arial"/>
          <w:sz w:val="18"/>
          <w:szCs w:val="18"/>
          <w:b w:val="1"/>
          <w:bCs w:val="1"/>
          <w:i w:val="1"/>
          <w:iCs w:val="1"/>
          <w:color w:val="auto"/>
        </w:rPr>
        <w:t>If we are unable to successfully commercialize CNTY-101 or any of our other product candidates for which we receive regulatory approval, or experience significant delays in doing so, our business will be materially harmed.</w:t>
      </w:r>
    </w:p>
    <w:p>
      <w:pPr>
        <w:spacing w:after="0" w:line="159"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If we are successful in obtaining marketing approval from applicable regulatory authorities for CNTY-101 or any of our other product candidates, our ability to generate revenues from such product candidates will depend on our success in:</w:t>
      </w:r>
    </w:p>
    <w:p>
      <w:pPr>
        <w:spacing w:after="0" w:line="169" w:lineRule="exact"/>
        <w:rPr>
          <w:sz w:val="20"/>
          <w:szCs w:val="20"/>
          <w:color w:val="auto"/>
        </w:rPr>
      </w:pPr>
    </w:p>
    <w:p>
      <w:pPr>
        <w:ind w:left="1340" w:hanging="642"/>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whether alone or in collaboration with</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others;</w:t>
      </w:r>
    </w:p>
    <w:p>
      <w:pPr>
        <w:spacing w:after="0" w:line="194" w:lineRule="exact"/>
        <w:rPr>
          <w:sz w:val="20"/>
          <w:szCs w:val="20"/>
          <w:color w:val="auto"/>
        </w:rPr>
      </w:pPr>
    </w:p>
    <w:p>
      <w:pPr>
        <w:ind w:left="60" w:right="559" w:firstLine="638"/>
        <w:spacing w:after="0" w:line="253" w:lineRule="auto"/>
        <w:tabs>
          <w:tab w:leader="none" w:pos="13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receiving an approved label with claims that are necessary or desirable for successful marketing, and that does not contain safety or other limitations that would impede our ability to market our product candidates;</w:t>
      </w:r>
    </w:p>
    <w:p>
      <w:pPr>
        <w:spacing w:after="0" w:line="168" w:lineRule="exact"/>
        <w:rPr>
          <w:rFonts w:ascii="Arial" w:cs="Arial" w:eastAsia="Arial" w:hAnsi="Arial"/>
          <w:sz w:val="18"/>
          <w:szCs w:val="18"/>
          <w:color w:val="auto"/>
        </w:rPr>
      </w:pPr>
    </w:p>
    <w:p>
      <w:pPr>
        <w:ind w:left="1340" w:hanging="642"/>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creating market demand for our product candidates through marketing, sales, and promotion</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activities;</w:t>
      </w:r>
    </w:p>
    <w:p>
      <w:pPr>
        <w:spacing w:after="0" w:line="193" w:lineRule="exact"/>
        <w:rPr>
          <w:rFonts w:ascii="Arial" w:cs="Arial" w:eastAsia="Arial" w:hAnsi="Arial"/>
          <w:sz w:val="18"/>
          <w:szCs w:val="18"/>
          <w:color w:val="auto"/>
        </w:rPr>
      </w:pPr>
    </w:p>
    <w:p>
      <w:pPr>
        <w:ind w:left="60" w:right="359" w:firstLine="638"/>
        <w:spacing w:after="0" w:line="271" w:lineRule="auto"/>
        <w:tabs>
          <w:tab w:leader="none" w:pos="13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hiring, training, and deploying a sales force or contracting with third parties to commercialize our product candidates;</w:t>
      </w:r>
    </w:p>
    <w:p>
      <w:pPr>
        <w:spacing w:after="0" w:line="153" w:lineRule="exact"/>
        <w:rPr>
          <w:rFonts w:ascii="Arial" w:cs="Arial" w:eastAsia="Arial" w:hAnsi="Arial"/>
          <w:sz w:val="18"/>
          <w:szCs w:val="18"/>
          <w:color w:val="auto"/>
        </w:rPr>
      </w:pPr>
    </w:p>
    <w:p>
      <w:pPr>
        <w:ind w:left="60" w:right="619" w:firstLine="638"/>
        <w:spacing w:after="0" w:line="301" w:lineRule="auto"/>
        <w:tabs>
          <w:tab w:leader="none" w:pos="13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manufacturing, either on our own or through third parties, product candidates in sufficient quantities and at acceptable quality and cost to meet commercial demand at launch and thereafter;</w:t>
      </w:r>
    </w:p>
    <w:p>
      <w:pPr>
        <w:spacing w:after="0" w:line="130" w:lineRule="exact"/>
        <w:rPr>
          <w:rFonts w:ascii="Arial" w:cs="Arial" w:eastAsia="Arial" w:hAnsi="Arial"/>
          <w:sz w:val="17"/>
          <w:szCs w:val="17"/>
          <w:color w:val="auto"/>
        </w:rPr>
      </w:pPr>
    </w:p>
    <w:p>
      <w:pPr>
        <w:ind w:left="60" w:right="219" w:firstLine="638"/>
        <w:spacing w:after="0" w:line="271" w:lineRule="auto"/>
        <w:tabs>
          <w:tab w:leader="none" w:pos="13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and maintaining agreements with wholesalers, distributors, and group purchasing organizations on commercially reasonable terms;</w:t>
      </w:r>
    </w:p>
    <w:p>
      <w:pPr>
        <w:spacing w:after="0" w:line="153" w:lineRule="exact"/>
        <w:rPr>
          <w:rFonts w:ascii="Arial" w:cs="Arial" w:eastAsia="Arial" w:hAnsi="Arial"/>
          <w:sz w:val="18"/>
          <w:szCs w:val="18"/>
          <w:color w:val="auto"/>
        </w:rPr>
      </w:pPr>
    </w:p>
    <w:p>
      <w:pPr>
        <w:ind w:left="60" w:right="539" w:firstLine="638"/>
        <w:spacing w:after="0" w:line="271" w:lineRule="auto"/>
        <w:tabs>
          <w:tab w:leader="none" w:pos="13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creating partnerships with, or offering licenses to, third parties to promote and sell product candidates in foreign markets where we receive marketing approval;</w:t>
      </w:r>
    </w:p>
    <w:p>
      <w:pPr>
        <w:spacing w:after="0" w:line="153" w:lineRule="exact"/>
        <w:rPr>
          <w:rFonts w:ascii="Arial" w:cs="Arial" w:eastAsia="Arial" w:hAnsi="Arial"/>
          <w:sz w:val="18"/>
          <w:szCs w:val="18"/>
          <w:color w:val="auto"/>
        </w:rPr>
      </w:pPr>
    </w:p>
    <w:p>
      <w:pPr>
        <w:ind w:left="60" w:right="759" w:firstLine="638"/>
        <w:spacing w:after="0" w:line="271" w:lineRule="auto"/>
        <w:tabs>
          <w:tab w:leader="none" w:pos="13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obtaining, maintaining, protecting, and enforcing patent and trade secret protection and regulatory exclusivity for our product candidates;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59" w:firstLine="638"/>
        <w:spacing w:after="0" w:line="271" w:lineRule="auto"/>
        <w:tabs>
          <w:tab w:leader="none" w:pos="13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achieving market acceptance of our product candidates by patients, the medical community, and third-party payors;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achieving appropriate reimbursement for our product candidates, if approved;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maintaining an acceptable tolerability profile of our product candidates following launch.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To the extent we are not able to do any of the foregoing, our business, financial condition, results of operations, and prospects will be materially harmed.</w:t>
      </w:r>
    </w:p>
    <w:p>
      <w:pPr>
        <w:spacing w:after="0" w:line="156" w:lineRule="exact"/>
        <w:rPr>
          <w:sz w:val="20"/>
          <w:szCs w:val="20"/>
          <w:color w:val="auto"/>
        </w:rPr>
      </w:pPr>
    </w:p>
    <w:p>
      <w:pPr>
        <w:ind w:left="60" w:right="279"/>
        <w:spacing w:after="0" w:line="256"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5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biopharmaceutical and pharmaceutical industries are characterized by rapid innovation, intense and dynamic competition and a strong emphasis on proprietary and novel products and product candidates. While we believe that our technology, scientific knowledge, and experience in the field of cellular immunotherapy provide us with competitive advantages, we face potential competition from many different sources, including major pharmaceutical, specialty pharmaceutical and biopharmaceutical companies, academic institutions, governmental agencies, and public and private research institutions, as well as standard-of-care treatments, and new products undergoing development and combinations of existing and new therapies. Any product candidates that we successfully develop and commercialize will compete with existing therapies and new therapies, including combinations thereof, that may become available in the future. We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left="60" w:right="219"/>
        <w:spacing w:after="0" w:line="255" w:lineRule="auto"/>
        <w:rPr>
          <w:sz w:val="20"/>
          <w:szCs w:val="20"/>
          <w:color w:val="auto"/>
        </w:rPr>
      </w:pPr>
      <w:r>
        <w:rPr>
          <w:rFonts w:ascii="Arial" w:cs="Arial" w:eastAsia="Arial" w:hAnsi="Arial"/>
          <w:sz w:val="17"/>
          <w:szCs w:val="17"/>
          <w:color w:val="auto"/>
        </w:rPr>
        <w:t>We are developing off-the-shelf cell therapies by differentiating engineered iPSC into NK-, T-, or other immune cells for the treatment of various cancers. While we believe our genetically-engineered immune effector cell therapies derived from iPSC are highly differentiated, a number of companies are currently focused on the development of cellular immunotherapies for the treatment of cancer. In addition, because reprogramming technology and gene editing technology are available on a non-exclusive basis, the number of companies developing iPSC-derived products and products using gene editing technology is expected to increase, which will increase competitive pressure on us. Moreover, the reprogramming technology licensed to us from FCDI and the gene editing technology licensed to us from Inscripta, Inc. are each licensed to us on a non-exclusive basis, and therefore third parties may obtain licenses to the same technology to compete with us.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57" w:lineRule="auto"/>
        <w:rPr>
          <w:sz w:val="20"/>
          <w:szCs w:val="20"/>
          <w:color w:val="auto"/>
        </w:rPr>
      </w:pPr>
      <w:r>
        <w:rPr>
          <w:rFonts w:ascii="Arial" w:cs="Arial" w:eastAsia="Arial" w:hAnsi="Arial"/>
          <w:sz w:val="17"/>
          <w:szCs w:val="17"/>
          <w:color w:val="auto"/>
        </w:rPr>
        <w:t>Large pharmaceutical companies that have commercialized or are developing immunotherapies to treat cancer include AstraZeneca, Bristol-Myers Squibb, Gilead Sciences, Merck, Novartis, Pfizer, and Roche/Genentech. Companies that compete with us directly on the level of the development of product candidates targeting B-cell lymphomas include Gilead Sciences, Novartis, Roche, Genmab, Abbvie and Bristol-Myers Squibb, among others. On the technology level, other emerging biopharmaceutical companies which can potentially develop competing cell therapy candidates to treat cancer include Fate Therapeutics, Allogene Therapeutics, CRIPSR Therapeutics, Caribou Biosciences, Shoreline Biosciences, Sana Biotechnology and Nkarta Therapeutics.</w:t>
      </w:r>
    </w:p>
    <w:p>
      <w:pPr>
        <w:spacing w:after="0" w:line="168"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91" w:lineRule="exact"/>
        <w:rPr>
          <w:sz w:val="20"/>
          <w:szCs w:val="20"/>
          <w:color w:val="auto"/>
        </w:rPr>
      </w:pPr>
    </w:p>
    <w:p>
      <w:pPr>
        <w:ind w:left="60" w:right="359"/>
        <w:spacing w:after="0" w:line="278" w:lineRule="auto"/>
        <w:rPr>
          <w:sz w:val="20"/>
          <w:szCs w:val="20"/>
          <w:color w:val="auto"/>
        </w:rPr>
      </w:pPr>
      <w:r>
        <w:rPr>
          <w:rFonts w:ascii="Arial" w:cs="Arial" w:eastAsia="Arial" w:hAnsi="Arial"/>
          <w:sz w:val="18"/>
          <w:szCs w:val="18"/>
          <w:b w:val="1"/>
          <w:bCs w:val="1"/>
          <w:i w:val="1"/>
          <w:iCs w:val="1"/>
          <w:color w:val="auto"/>
        </w:rPr>
        <w:t>We expect to face uncertainty regarding the pricing of our existing product candidates and any other product candidates that we may develop, and for which we may receive approval.</w:t>
      </w:r>
    </w:p>
    <w:p>
      <w:pPr>
        <w:spacing w:after="0" w:line="13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Due to the novel nature of our product candidates, we face significant uncertainty as to the pricing of any such products for which we may receive marketing approval. While we anticipate that pricing for any product candidates that we develop will be relatively high due to their anticipated use in the prevention or treatment of life-threatening diseases where therapeutic options are limited, the biopharmaceutical industry has recently experienced significant pricing pressures, including in the area of orphan drug products.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183"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addition, we expect to experience pricing pressures in connection with the pricing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82" w:lineRule="exact"/>
        <w:rPr>
          <w:sz w:val="20"/>
          <w:szCs w:val="20"/>
          <w:color w:val="auto"/>
        </w:rPr>
      </w:pPr>
    </w:p>
    <w:p>
      <w:pPr>
        <w:ind w:left="60" w:right="179"/>
        <w:spacing w:after="0" w:line="256"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new products could limit our product revenues.</w:t>
      </w:r>
    </w:p>
    <w:p>
      <w:pPr>
        <w:spacing w:after="0" w:line="159" w:lineRule="exact"/>
        <w:rPr>
          <w:sz w:val="20"/>
          <w:szCs w:val="20"/>
          <w:color w:val="auto"/>
        </w:rPr>
      </w:pPr>
    </w:p>
    <w:p>
      <w:pPr>
        <w:ind w:left="60" w:right="359"/>
        <w:spacing w:after="0" w:line="266" w:lineRule="auto"/>
        <w:rPr>
          <w:sz w:val="20"/>
          <w:szCs w:val="20"/>
          <w:color w:val="auto"/>
        </w:rPr>
      </w:pPr>
      <w:r>
        <w:rPr>
          <w:rFonts w:ascii="Arial" w:cs="Arial" w:eastAsia="Arial" w:hAnsi="Arial"/>
          <w:sz w:val="17"/>
          <w:szCs w:val="17"/>
          <w:color w:val="auto"/>
        </w:rPr>
        <w:t>Our ability to commercialize any of our product candidates successfully will depend in part on the extent to which reimbursement for these products and related treatments will be available from government health administration authorities, private health insurers, and other organizations. In the United States, the principal decisions about reimbursement for new therapies are typically made by Centers for Medicare and Medicaid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Services, or CMS, an agency within the United States Department of Health and Human Services. CMS decides whether and to what extent a new therapy will be covered and reimbursed under Medicare, and private payors tend to follow CMS determinations to a substantial degree. The availability and extent of reimbursement by governmental and private payors is essential for most patients to be able to afford expensive treatments, such as cellular immunotherapy. There is significant uncertainty related to the insurance coverage and reimbursement of newly approved products by government and third-party payors. In particular, there is no body of established practices and precedents for reimbursement of cellular immunotherapies, and it is difficult to predict what the regulatory authority or private payor will decide with respect to reimbursement levels for novel products such as ours. Our products may not qualify for coverage or direct reimbursement, or may be subject to limited reimbursement. If reimbursement or insurance coverage is not available, or is available only to limited levels, we may not be able to successfully commercialize our product candidates, if approved. Even if coverage is provided, the approved reimbursement amount may not be sufficient to allow us to establish or maintain pricing to generate income.</w:t>
      </w:r>
    </w:p>
    <w:p>
      <w:pPr>
        <w:spacing w:after="0" w:line="18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reimbursement agencies in foreign jurisdictions may be more conservative than those in the United States. Accordingly, in markets outside the United States, the reimbursement for our product candidates, if approved,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180"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Even if we obtain regulatory and marketing approval for a product candidate, our product candidates will remain subject to regulatory oversight.</w:t>
      </w:r>
    </w:p>
    <w:p>
      <w:pPr>
        <w:spacing w:after="0" w:line="15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Even if we receive marketing and regulatory approval for CNTY-101 or any of our other product candidates, regulatory authorities may still impose significant restrictions on the indicated uses or marketing or impose ongoing requirements for potentially costly post-approval studies. CNTY-101 and our other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biologic. Any regulatory approvals that we receive for CNTY-101 or our other product candidates may also be subject to a risk evaluation and mitigation strategy, or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is obligated to monitor and report adverse events and any failure of a product to meet the specifications in the BLA.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84" w:lineRule="exact"/>
        <w:rPr>
          <w:sz w:val="20"/>
          <w:szCs w:val="20"/>
          <w:color w:val="auto"/>
        </w:rPr>
      </w:pPr>
    </w:p>
    <w:p>
      <w:pPr>
        <w:ind w:left="60" w:right="239"/>
        <w:spacing w:after="0" w:line="257"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market or suspension of manufacturing.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174"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If we or our contractors fail to comply with applicable regulatory requirements following approval of CNTY-101 or our other product candidates, a regulatory authority may:</w:t>
      </w:r>
    </w:p>
    <w:p>
      <w:pPr>
        <w:spacing w:after="0" w:line="154" w:lineRule="exact"/>
        <w:rPr>
          <w:sz w:val="20"/>
          <w:szCs w:val="20"/>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 a warning letter, untitled letter, or Form 483, asserting that we are in violation of the law;</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request voluntary product recalls;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11" w:lineRule="exact"/>
        <w:rPr>
          <w:rFonts w:ascii="Arial" w:cs="Arial" w:eastAsia="Arial" w:hAnsi="Arial"/>
          <w:sz w:val="18"/>
          <w:szCs w:val="18"/>
          <w:color w:val="auto"/>
        </w:rPr>
      </w:pPr>
    </w:p>
    <w:p>
      <w:pPr>
        <w:ind w:left="60" w:right="879" w:firstLine="638"/>
        <w:spacing w:after="0" w:line="271" w:lineRule="auto"/>
        <w:tabs>
          <w:tab w:leader="none" w:pos="1356"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12"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CNTY-101 or our other product candidates and adversely affect our business, financial condition, results of operations, and prospects.</w:t>
      </w:r>
    </w:p>
    <w:p>
      <w:pPr>
        <w:spacing w:after="0" w:line="176" w:lineRule="exact"/>
        <w:rPr>
          <w:sz w:val="20"/>
          <w:szCs w:val="20"/>
          <w:color w:val="auto"/>
        </w:rPr>
      </w:pPr>
    </w:p>
    <w:p>
      <w:pPr>
        <w:ind w:left="60" w:right="679"/>
        <w:spacing w:after="0" w:line="278" w:lineRule="auto"/>
        <w:rPr>
          <w:sz w:val="20"/>
          <w:szCs w:val="20"/>
          <w:color w:val="auto"/>
        </w:rPr>
      </w:pPr>
      <w:r>
        <w:rPr>
          <w:rFonts w:ascii="Arial" w:cs="Arial" w:eastAsia="Arial" w:hAnsi="Arial"/>
          <w:sz w:val="18"/>
          <w:szCs w:val="18"/>
          <w:b w:val="1"/>
          <w:bCs w:val="1"/>
          <w:i w:val="1"/>
          <w:iCs w:val="1"/>
          <w:color w:val="auto"/>
        </w:rPr>
        <w:t>Even if we receive marketing approval for CNTY-101 or our other product candidates, we may not achieve broad market acceptance.</w:t>
      </w:r>
    </w:p>
    <w:p>
      <w:pPr>
        <w:spacing w:after="0" w:line="139"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commercial success of CNTY-101 or our other product candidates, if developed and approved for marketing by the FDA or comparable foreign regulatory authority, will depend upon the awareness and acceptance of CNTY-101 or such other product candidate among the medical community, including physicians, patients, advocacy groups, and healthcare payors. Market acceptance of our product candidates, if approved, will depend on a number of factors, including, among others:</w:t>
      </w:r>
    </w:p>
    <w:p>
      <w:pPr>
        <w:spacing w:after="0" w:line="176" w:lineRule="exact"/>
        <w:rPr>
          <w:sz w:val="20"/>
          <w:szCs w:val="20"/>
          <w:color w:val="auto"/>
        </w:rPr>
      </w:pPr>
    </w:p>
    <w:p>
      <w:pPr>
        <w:ind w:left="1340" w:hanging="642"/>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211" w:lineRule="exact"/>
        <w:rPr>
          <w:rFonts w:ascii="Arial" w:cs="Arial" w:eastAsia="Arial" w:hAnsi="Arial"/>
          <w:sz w:val="18"/>
          <w:szCs w:val="18"/>
          <w:color w:val="auto"/>
        </w:rPr>
      </w:pPr>
    </w:p>
    <w:p>
      <w:pPr>
        <w:ind w:left="60" w:right="419" w:firstLine="638"/>
        <w:spacing w:after="0" w:line="271" w:lineRule="auto"/>
        <w:tabs>
          <w:tab w:leader="none" w:pos="13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 or comparable foreign regulatory authority, such as a “black box” warning;</w:t>
      </w:r>
    </w:p>
    <w:p>
      <w:pPr>
        <w:spacing w:after="0" w:line="153" w:lineRule="exact"/>
        <w:rPr>
          <w:rFonts w:ascii="Arial" w:cs="Arial" w:eastAsia="Arial" w:hAnsi="Arial"/>
          <w:sz w:val="18"/>
          <w:szCs w:val="18"/>
          <w:color w:val="auto"/>
        </w:rPr>
      </w:pPr>
    </w:p>
    <w:p>
      <w:pPr>
        <w:ind w:left="60" w:right="339" w:firstLine="638"/>
        <w:spacing w:after="0" w:line="271" w:lineRule="auto"/>
        <w:tabs>
          <w:tab w:leader="none" w:pos="13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any competitive therapies in development that could be approved or commercially launched prior to approval of our product candidates;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59" w:firstLine="638"/>
        <w:spacing w:after="0" w:line="271" w:lineRule="auto"/>
        <w:tabs>
          <w:tab w:leader="none" w:pos="13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53" w:lineRule="exact"/>
        <w:rPr>
          <w:rFonts w:ascii="Arial" w:cs="Arial" w:eastAsia="Arial" w:hAnsi="Arial"/>
          <w:sz w:val="18"/>
          <w:szCs w:val="18"/>
          <w:color w:val="auto"/>
        </w:rPr>
      </w:pPr>
    </w:p>
    <w:p>
      <w:pPr>
        <w:ind w:left="60" w:right="899" w:firstLine="638"/>
        <w:spacing w:after="0" w:line="271" w:lineRule="auto"/>
        <w:tabs>
          <w:tab w:leader="none" w:pos="13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pricing;</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payor acceptance;</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any future changes to the United States healthcare system;</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 and</w:t>
      </w:r>
    </w:p>
    <w:p>
      <w:pPr>
        <w:spacing w:after="0" w:line="211" w:lineRule="exact"/>
        <w:rPr>
          <w:rFonts w:ascii="Arial" w:cs="Arial" w:eastAsia="Arial" w:hAnsi="Arial"/>
          <w:sz w:val="18"/>
          <w:szCs w:val="18"/>
          <w:color w:val="auto"/>
        </w:rPr>
      </w:pPr>
    </w:p>
    <w:p>
      <w:pPr>
        <w:jc w:val="both"/>
        <w:ind w:left="60" w:right="199" w:firstLine="638"/>
        <w:spacing w:after="0" w:line="253" w:lineRule="auto"/>
        <w:tabs>
          <w:tab w:leader="none" w:pos="13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69"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If CNTY-101 or any of our other product candidates are approved but do not achieve an adequate level of acceptance by patients, advocacy groups, physicians and payors, we may not generate sufficient revenue to become or remain profitable and our business, financial condition, and results of operations could be materially adversely affected. Our efforts to educate the medical community and third-party payors about the benefits of CNTY-101 and our other product candidates may require significant resources and may never be successful.</w:t>
      </w:r>
    </w:p>
    <w:p>
      <w:pPr>
        <w:spacing w:after="0" w:line="168" w:lineRule="exact"/>
        <w:rPr>
          <w:sz w:val="20"/>
          <w:szCs w:val="20"/>
          <w:color w:val="auto"/>
        </w:rPr>
      </w:pPr>
    </w:p>
    <w:p>
      <w:pPr>
        <w:ind w:left="60" w:right="219"/>
        <w:spacing w:after="0" w:line="256" w:lineRule="auto"/>
        <w:rPr>
          <w:sz w:val="20"/>
          <w:szCs w:val="20"/>
          <w:color w:val="auto"/>
        </w:rPr>
      </w:pPr>
      <w:r>
        <w:rPr>
          <w:rFonts w:ascii="Arial" w:cs="Arial" w:eastAsia="Arial" w:hAnsi="Arial"/>
          <w:sz w:val="18"/>
          <w:szCs w:val="18"/>
          <w:b w:val="1"/>
          <w:bCs w:val="1"/>
          <w:i w:val="1"/>
          <w:iCs w:val="1"/>
          <w:color w:val="auto"/>
        </w:rPr>
        <w:t>Even if we receive marketing approval for CNTY-101 or our other product candidates in the United States, we may never receive regulatory approval to market CNTY-101 or our other product candidates outside of the United States.</w:t>
      </w:r>
    </w:p>
    <w:p>
      <w:pPr>
        <w:spacing w:after="0" w:line="15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order to market any product outside of the United States, we must establish and comply with the numerous and varying safety, efficacy, and other regulatory requirements of other jurisdictions, including potential additional clinical trials and/or preclinical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jurisdictions outside of the United States, products must receive pricing and reimbursement approval before the product can be commercialized. Obtaining this approval can result in substantial delays in bringing products to market in such jurisdictions.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jurisdictions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190" w:lineRule="exact"/>
        <w:rPr>
          <w:sz w:val="20"/>
          <w:szCs w:val="20"/>
          <w:color w:val="auto"/>
        </w:rPr>
      </w:pPr>
    </w:p>
    <w:p>
      <w:pPr>
        <w:ind w:left="60" w:right="99"/>
        <w:spacing w:after="0" w:line="309" w:lineRule="auto"/>
        <w:rPr>
          <w:sz w:val="20"/>
          <w:szCs w:val="20"/>
          <w:color w:val="auto"/>
        </w:rPr>
      </w:pPr>
      <w:r>
        <w:rPr>
          <w:rFonts w:ascii="Arial" w:cs="Arial" w:eastAsia="Arial" w:hAnsi="Arial"/>
          <w:sz w:val="17"/>
          <w:szCs w:val="17"/>
          <w:b w:val="1"/>
          <w:bCs w:val="1"/>
          <w:i w:val="1"/>
          <w:iCs w:val="1"/>
          <w:color w:val="auto"/>
        </w:rPr>
        <w:t>We may be unable to establish effective marketing, sales and distribution capabilities or enter into agreements with third parties to market and sell CNTY-101 or our other product candidates, if approved.</w:t>
      </w:r>
    </w:p>
    <w:p>
      <w:pPr>
        <w:spacing w:after="0" w:line="116" w:lineRule="exact"/>
        <w:rPr>
          <w:sz w:val="20"/>
          <w:szCs w:val="20"/>
          <w:color w:val="auto"/>
        </w:rPr>
      </w:pPr>
    </w:p>
    <w:p>
      <w:pPr>
        <w:ind w:left="60" w:right="259"/>
        <w:spacing w:after="0" w:line="261" w:lineRule="auto"/>
        <w:rPr>
          <w:sz w:val="20"/>
          <w:szCs w:val="20"/>
          <w:color w:val="auto"/>
        </w:rPr>
      </w:pPr>
      <w:r>
        <w:rPr>
          <w:rFonts w:ascii="Arial" w:cs="Arial" w:eastAsia="Arial" w:hAnsi="Arial"/>
          <w:sz w:val="17"/>
          <w:szCs w:val="17"/>
          <w:color w:val="auto"/>
        </w:rPr>
        <w:t>We currently do not have a commercial infrastructure for the marketing, sale, and distribution of CNTY-101, or our other product candidates. If CNTY-101 or our other product candidates receive marketing approval, we intend to commercialize such product candidates in the United States and potentially in other geographies. In order to commercialize our products, we must build our marketing, sales, and distribution capabilities or make arrangements with third parties to perform these services. We may not be successful in doing so. Should we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decide to move forward in developing our own marketing capabilities, we may incur expenses prior to product launch or even approval in order to recruit a sales force and develop a marketing and sales infrastructure. If a commercial launch is delayed as a result of the FDA’s or comparable foreign regulatory authority’s requirements or for other reasons, we would incur these expenses prior to being able to realize any revenue from sales of CNTY-101 and our other product candidates. Even if we are able to effectively hire a sales force and develop a marketing and sales infrastructure, our sales force and marketing teams may not be successful in commercializing CNTY-101 or our other product candidates. This may be costly, and our investment would be lost if we cannot retain or reposition our sales and marketing personnel.</w:t>
      </w:r>
    </w:p>
    <w:p>
      <w:pPr>
        <w:spacing w:after="0" w:line="18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85"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time-consuming and could delay any product launch, and we may not be able to successfully develop this capability. We will have to compete with other biopharmaceutical and pharmaceutical companies to recruit, hire, train, manage, and retain marketing and sales personnel, which is expensive and time-consuming and could delay any product launch. Developing our sales capabilities may also divert resources and management attention away from product development.</w:t>
      </w:r>
    </w:p>
    <w:p>
      <w:pPr>
        <w:spacing w:after="0" w:line="18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In the event we are unable to develop a marketing and sales infrastructure, we may not be able to commercialize CNTY-101 or our other product candidates, if approved, in the United States or elsewhere, which could limit our ability to generate product revenues and materially harm our business, financial condition, results of operations, and prospects.</w:t>
      </w:r>
    </w:p>
    <w:p>
      <w:pPr>
        <w:spacing w:after="0" w:line="176" w:lineRule="exact"/>
        <w:rPr>
          <w:sz w:val="20"/>
          <w:szCs w:val="20"/>
          <w:color w:val="auto"/>
        </w:rPr>
      </w:pPr>
    </w:p>
    <w:p>
      <w:pPr>
        <w:ind w:left="60" w:right="219"/>
        <w:spacing w:after="0" w:line="309" w:lineRule="auto"/>
        <w:rPr>
          <w:sz w:val="20"/>
          <w:szCs w:val="20"/>
          <w:color w:val="auto"/>
        </w:rPr>
      </w:pPr>
      <w:r>
        <w:rPr>
          <w:rFonts w:ascii="Arial" w:cs="Arial" w:eastAsia="Arial" w:hAnsi="Arial"/>
          <w:sz w:val="17"/>
          <w:szCs w:val="17"/>
          <w:b w:val="1"/>
          <w:bCs w:val="1"/>
          <w:i w:val="1"/>
          <w:iCs w:val="1"/>
          <w:color w:val="auto"/>
        </w:rPr>
        <w:t>If the market opportunities for our product candidates for which we receive marketing approval are smaller than we believe they are, our revenue may be adversely affected, and our business may suffer.</w:t>
      </w:r>
    </w:p>
    <w:p>
      <w:pPr>
        <w:spacing w:after="0" w:line="11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Cancer therapies are sometimes characterized as first-line, second-line, or third -line,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Initial planned clinical trials are expected to enroll patients who have received other available therapies in order to first evaluate whether the product is safe and whether there is any activity. Although we have initiated our first clinical trial of CNTY-101 in patients that have received prior lines of therapy, we have limited data, to date, on the side effect profile of our product candidate in humans and we do not know at this time whether any of our other product candidates will be safe for use in humans or whether they will demonstrate any anti-cancer activity. Subsequently, we plan to conduct additional clinical trials depending on the activity we note in the initial clinical trials. If the activity is sufficient, we may initially seek approval of any product candidates we develop as a therapy for patients who have received one or more prior treatments. Subsequently, for those products that prove to be sufficiently beneficial, if any, we would expect to seek approval potentially in earlier lines of therapy, but there is no guarantee that product candidates we develop, even if approved for later lines of therapy, would be approved for earlier lines of therapy, and, prior to any such approvals, we may have to conduct additional clinical trials.</w:t>
      </w:r>
    </w:p>
    <w:p>
      <w:pPr>
        <w:spacing w:after="0" w:line="186" w:lineRule="exact"/>
        <w:rPr>
          <w:sz w:val="20"/>
          <w:szCs w:val="20"/>
          <w:color w:val="auto"/>
        </w:rPr>
      </w:pPr>
    </w:p>
    <w:p>
      <w:pPr>
        <w:ind w:left="60" w:right="539"/>
        <w:spacing w:after="0" w:line="301" w:lineRule="auto"/>
        <w:rPr>
          <w:sz w:val="20"/>
          <w:szCs w:val="20"/>
          <w:color w:val="auto"/>
        </w:rPr>
      </w:pPr>
      <w:r>
        <w:rPr>
          <w:rFonts w:ascii="Arial" w:cs="Arial" w:eastAsia="Arial" w:hAnsi="Arial"/>
          <w:sz w:val="17"/>
          <w:szCs w:val="17"/>
          <w:color w:val="auto"/>
        </w:rPr>
        <w:t>We focus our research and product development on differentiating engineered iPSC into NK-, T-, or other immune cells for the treatment of various cancers. Our projections of both the number of people who have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these cancers, as well as the subset of people with these cancers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such cancers.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and biologic pricing, and reimbursement. The number of patients in the United States and other major markets and elsewhere may turn out to be lower than expected, patients may not be otherwise amenable to treatment with our product candidates, for which we receive marketing approval, or new patients may become increasingly difficult to identify or gain access to, all of which would adversely affect our results of operations and our business.</w:t>
      </w:r>
    </w:p>
    <w:p>
      <w:pPr>
        <w:spacing w:after="0" w:line="182" w:lineRule="exact"/>
        <w:rPr>
          <w:sz w:val="20"/>
          <w:szCs w:val="20"/>
          <w:color w:val="auto"/>
        </w:rPr>
      </w:pPr>
    </w:p>
    <w:p>
      <w:pPr>
        <w:ind w:left="60" w:right="299"/>
        <w:spacing w:after="0" w:line="256"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69" w:lineRule="exact"/>
        <w:rPr>
          <w:sz w:val="20"/>
          <w:szCs w:val="20"/>
          <w:color w:val="auto"/>
        </w:rPr>
      </w:pPr>
    </w:p>
    <w:p>
      <w:pPr>
        <w:ind w:left="60" w:right="219" w:firstLine="638"/>
        <w:spacing w:after="0" w:line="253" w:lineRule="auto"/>
        <w:tabs>
          <w:tab w:leader="none" w:pos="135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CNTY-101 and our other product candidates, which may change from time to time;</w:t>
      </w:r>
    </w:p>
    <w:p>
      <w:pPr>
        <w:spacing w:after="0" w:line="168" w:lineRule="exact"/>
        <w:rPr>
          <w:rFonts w:ascii="Arial" w:cs="Arial" w:eastAsia="Arial" w:hAnsi="Arial"/>
          <w:sz w:val="18"/>
          <w:szCs w:val="18"/>
          <w:color w:val="auto"/>
        </w:rPr>
      </w:pPr>
    </w:p>
    <w:p>
      <w:pPr>
        <w:ind w:left="60" w:right="819" w:firstLine="638"/>
        <w:spacing w:after="0" w:line="301" w:lineRule="auto"/>
        <w:tabs>
          <w:tab w:leader="none" w:pos="135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coverage and reimbursement policies with respect to CNTY-101 and our other product candidates, if approved, and potential future drugs or biologics that compete with our products;</w:t>
      </w:r>
    </w:p>
    <w:p>
      <w:pPr>
        <w:spacing w:after="0" w:line="130" w:lineRule="exact"/>
        <w:rPr>
          <w:rFonts w:ascii="Arial" w:cs="Arial" w:eastAsia="Arial" w:hAnsi="Arial"/>
          <w:sz w:val="17"/>
          <w:szCs w:val="17"/>
          <w:color w:val="auto"/>
        </w:rPr>
      </w:pPr>
    </w:p>
    <w:p>
      <w:pPr>
        <w:ind w:left="60" w:right="739" w:firstLine="638"/>
        <w:spacing w:after="0" w:line="271" w:lineRule="auto"/>
        <w:tabs>
          <w:tab w:leader="none" w:pos="135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manufacturing CNTY-101 and our other product candidates, which may vary depending on the quantity of production and the terms of our agreements with CMOs;</w:t>
      </w:r>
    </w:p>
    <w:p>
      <w:pPr>
        <w:spacing w:after="0" w:line="153" w:lineRule="exact"/>
        <w:rPr>
          <w:rFonts w:ascii="Arial" w:cs="Arial" w:eastAsia="Arial" w:hAnsi="Arial"/>
          <w:sz w:val="18"/>
          <w:szCs w:val="18"/>
          <w:color w:val="auto"/>
        </w:rPr>
      </w:pPr>
    </w:p>
    <w:p>
      <w:pPr>
        <w:ind w:left="60" w:right="259" w:firstLine="638"/>
        <w:spacing w:after="0" w:line="271" w:lineRule="auto"/>
        <w:tabs>
          <w:tab w:leader="none" w:pos="135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or acquired our product candidates;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11" w:lineRule="exact"/>
        <w:rPr>
          <w:rFonts w:ascii="Arial" w:cs="Arial" w:eastAsia="Arial" w:hAnsi="Arial"/>
          <w:sz w:val="18"/>
          <w:szCs w:val="18"/>
          <w:color w:val="auto"/>
        </w:rPr>
      </w:pPr>
    </w:p>
    <w:p>
      <w:pPr>
        <w:ind w:left="60" w:right="279" w:firstLine="638"/>
        <w:spacing w:after="0" w:line="271" w:lineRule="auto"/>
        <w:tabs>
          <w:tab w:leader="none" w:pos="135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change in the competitive landscape of our industry, including consolidation among our competitors or partners.</w:t>
      </w:r>
    </w:p>
    <w:p>
      <w:pPr>
        <w:spacing w:after="0" w:line="154"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69"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214" w:lineRule="exact"/>
        <w:rPr>
          <w:sz w:val="20"/>
          <w:szCs w:val="20"/>
          <w:color w:val="auto"/>
        </w:rPr>
      </w:pPr>
    </w:p>
    <w:p>
      <w:pPr>
        <w:ind w:left="60" w:right="119"/>
        <w:spacing w:after="0" w:line="256" w:lineRule="auto"/>
        <w:rPr>
          <w:sz w:val="20"/>
          <w:szCs w:val="20"/>
          <w:color w:val="auto"/>
        </w:rPr>
      </w:pPr>
      <w:r>
        <w:rPr>
          <w:rFonts w:ascii="Arial" w:cs="Arial" w:eastAsia="Arial" w:hAnsi="Arial"/>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59"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many of whom have been instrumental for us and have substantial experience with our iPSC-derived allogeneic cell therapy platforms, underlying technologies, and related product candidates. Given the specialized nature of our iPSC-derived allogeneic cell therapy platforms and the fact that ours is a novel and emerging field, there is an inherent scarcity of experienced personnel in this field. As we continue developing our product candidates in our pipeline, we will require personnel with medical, scientific, or technical qualifications specific to each program.</w:t>
      </w:r>
    </w:p>
    <w:p>
      <w:pPr>
        <w:spacing w:after="0" w:line="18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are highly dependent upon our senior management, particularly Osvaldo Flores, Ph.D., our Chief Executive Officer, as well as our senior scientists and other members of our executive team. The loss of services of any of these individuals could delay or prevent the successful development of our product pipeline, initiation or completion of our planned clinical trials, or the commercialization of CNTY-101 and our other product candidates.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8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Our research and development programs, clinical operations, and sales and marketing efforts depend on our ability to attract and retain highly skilled scientists, engineers, and sales professionals. The competition for qualified personnel in the biotechnology and pharmaceutical industries is intense,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182" w:lineRule="exact"/>
        <w:rPr>
          <w:sz w:val="20"/>
          <w:szCs w:val="20"/>
          <w:color w:val="auto"/>
        </w:rPr>
      </w:pPr>
    </w:p>
    <w:p>
      <w:pPr>
        <w:ind w:left="60" w:right="999"/>
        <w:spacing w:after="0" w:line="278" w:lineRule="auto"/>
        <w:rPr>
          <w:sz w:val="20"/>
          <w:szCs w:val="20"/>
          <w:color w:val="auto"/>
        </w:rPr>
      </w:pPr>
      <w:r>
        <w:rPr>
          <w:rFonts w:ascii="Arial" w:cs="Arial" w:eastAsia="Arial" w:hAnsi="Arial"/>
          <w:sz w:val="18"/>
          <w:szCs w:val="18"/>
          <w:b w:val="1"/>
          <w:bCs w:val="1"/>
          <w:i w:val="1"/>
          <w:iCs w:val="1"/>
          <w:color w:val="auto"/>
        </w:rPr>
        <w:t>We will need to increase the size and capabilities of our organization, and we may experience difficulties in managing our growth.</w:t>
      </w:r>
    </w:p>
    <w:p>
      <w:pPr>
        <w:spacing w:after="0" w:line="139" w:lineRule="exact"/>
        <w:rPr>
          <w:sz w:val="20"/>
          <w:szCs w:val="20"/>
          <w:color w:val="auto"/>
        </w:rPr>
      </w:pPr>
    </w:p>
    <w:p>
      <w:pPr>
        <w:ind w:left="60" w:right="199"/>
        <w:spacing w:after="0" w:line="266" w:lineRule="auto"/>
        <w:rPr>
          <w:sz w:val="20"/>
          <w:szCs w:val="20"/>
          <w:color w:val="auto"/>
        </w:rPr>
      </w:pPr>
      <w:r>
        <w:rPr>
          <w:rFonts w:ascii="Arial" w:cs="Arial" w:eastAsia="Arial" w:hAnsi="Arial"/>
          <w:sz w:val="17"/>
          <w:szCs w:val="17"/>
          <w:color w:val="auto"/>
        </w:rPr>
        <w:t>As of March 2, 2023, we had 184 employees and consultants and most of our employees are full-time. As our development and commercialization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159" w:lineRule="exact"/>
        <w:rPr>
          <w:sz w:val="20"/>
          <w:szCs w:val="20"/>
          <w:color w:val="auto"/>
        </w:rPr>
      </w:pPr>
    </w:p>
    <w:p>
      <w:pPr>
        <w:ind w:left="1340" w:hanging="642"/>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11" w:lineRule="exact"/>
        <w:rPr>
          <w:rFonts w:ascii="Arial" w:cs="Arial" w:eastAsia="Arial" w:hAnsi="Arial"/>
          <w:sz w:val="18"/>
          <w:szCs w:val="18"/>
          <w:color w:val="auto"/>
        </w:rPr>
      </w:pPr>
    </w:p>
    <w:p>
      <w:pPr>
        <w:ind w:left="60" w:right="279" w:firstLine="638"/>
        <w:spacing w:after="0" w:line="253" w:lineRule="auto"/>
        <w:tabs>
          <w:tab w:leader="none" w:pos="13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additional clinical and FDA or other comparable authority review process for CNTY-101 and our other product candidates, while complying with our contractual obligations to contractors and other third parties; and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40" w:hanging="642"/>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procedures.</w:t>
      </w:r>
    </w:p>
    <w:p>
      <w:pPr>
        <w:spacing w:after="0" w:line="194"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Our future financial performance and our ability to commercialize CNTY-101 and our other product candidates, if approved,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we expect to incur additional costs in hiring, training, and retaining such additional personnel.</w:t>
      </w:r>
    </w:p>
    <w:p>
      <w:pPr>
        <w:spacing w:after="0" w:line="17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CNTY-101 and our other product candidates and, accordingly, may not achieve our research, development, and commercialization goals.</w:t>
      </w:r>
    </w:p>
    <w:p>
      <w:pPr>
        <w:spacing w:after="0" w:line="176" w:lineRule="exact"/>
        <w:rPr>
          <w:sz w:val="20"/>
          <w:szCs w:val="20"/>
          <w:color w:val="auto"/>
        </w:rPr>
      </w:pPr>
    </w:p>
    <w:p>
      <w:pPr>
        <w:ind w:left="60" w:right="299"/>
        <w:spacing w:after="0" w:line="256" w:lineRule="auto"/>
        <w:rPr>
          <w:sz w:val="20"/>
          <w:szCs w:val="20"/>
          <w:color w:val="auto"/>
        </w:rPr>
      </w:pPr>
      <w:r>
        <w:rPr>
          <w:rFonts w:ascii="Arial" w:cs="Arial" w:eastAsia="Arial" w:hAnsi="Arial"/>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15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Public health crises, such as pandemics or similar outbreaks, could adversely impact our business. The impact of the COVID-19 pandemic and the efforts to mitigate it, resulted in and will likely continue to result in disruptions to the global economy, as well as businesses and capital markets around the world. We experienced modest delays in our discovery and development activities as a result of the COVID-19 pandemic, primarily due to temporary and partial shutdowns at certain of our CROs and academic institutions that have since resumed operations, and due to governmental responses to the pandemic. We implemented a mandatory vaccination policy for all employees and have taken other precautionary measures, including testing of any employees displaying symptoms of COVID-19. While the vaccines have proven effective in reducing the severity and mortality of COVID-19 including the variants that have evolved to date, the emergence of new variants, which could prove resistant to existing vaccines, could again result in major disruptions to businesses and markets worldwide. The extent to which the COVID-19 pandemic will continue to impact our operations or those of our consultants and collaborators, will depend on future developments, including the global macroeconomic effects of the virus.</w:t>
      </w:r>
    </w:p>
    <w:p>
      <w:pPr>
        <w:spacing w:after="0" w:line="180"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Potential disruptions to our preclinical and clinical development efforts related to the COVID-19 pandemic include, but are not limited to, disruptions in our supply chain and our ability to procure the components for each of our product candidates for use in preclinical studies and clinical trials and enrolling patients in clinical trials. The extent to which the outbreak may affect our preclinical studies, clinical trials, business, financial condition, and results of operations will depend on future developments, which are uncertain and cannot be predicted at this time. Additionally, we are unable to predict if a different pandemic could have similar or different impacts on our business, financial condition, or share price. Future developments in these and other areas present material uncertainty and risk with respect to our clinical trials, business, financial condition, and results of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519"/>
        <w:spacing w:after="0" w:line="278" w:lineRule="auto"/>
        <w:rPr>
          <w:sz w:val="20"/>
          <w:szCs w:val="20"/>
          <w:color w:val="auto"/>
        </w:rPr>
      </w:pPr>
      <w:r>
        <w:rPr>
          <w:rFonts w:ascii="Arial" w:cs="Arial" w:eastAsia="Arial" w:hAnsi="Arial"/>
          <w:sz w:val="18"/>
          <w:szCs w:val="18"/>
          <w:b w:val="1"/>
          <w:bCs w:val="1"/>
          <w:i w:val="1"/>
          <w:iCs w:val="1"/>
          <w:color w:val="auto"/>
        </w:rPr>
        <w:t>We have incurred indebtedness, and we may incur additional indebtedness, which could adversely affect our business.</w:t>
      </w:r>
    </w:p>
    <w:p>
      <w:pPr>
        <w:spacing w:after="0" w:line="139" w:lineRule="exact"/>
        <w:rPr>
          <w:sz w:val="20"/>
          <w:szCs w:val="20"/>
          <w:color w:val="auto"/>
        </w:rPr>
      </w:pPr>
    </w:p>
    <w:p>
      <w:pPr>
        <w:jc w:val="both"/>
        <w:ind w:left="60" w:right="759"/>
        <w:spacing w:after="0" w:line="253" w:lineRule="auto"/>
        <w:rPr>
          <w:sz w:val="20"/>
          <w:szCs w:val="20"/>
          <w:color w:val="auto"/>
        </w:rPr>
      </w:pPr>
      <w:r>
        <w:rPr>
          <w:rFonts w:ascii="Arial" w:cs="Arial" w:eastAsia="Arial" w:hAnsi="Arial"/>
          <w:sz w:val="18"/>
          <w:szCs w:val="18"/>
          <w:color w:val="auto"/>
        </w:rPr>
        <w:t>As of December 31, 2022, we had an outstanding balance of $10.0 million under our Loan and Security Agreement with Hercules Capital, Inc., or the Loan Agreement. Our indebtedness could have important consequences to our stockholders. For example, it:</w:t>
      </w:r>
    </w:p>
    <w:p>
      <w:pPr>
        <w:spacing w:after="0" w:line="169" w:lineRule="exact"/>
        <w:rPr>
          <w:sz w:val="20"/>
          <w:szCs w:val="20"/>
          <w:color w:val="auto"/>
        </w:rPr>
      </w:pPr>
    </w:p>
    <w:p>
      <w:pPr>
        <w:ind w:left="1340" w:hanging="642"/>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our vulnerability to adverse general economic and industry conditions;</w:t>
      </w:r>
    </w:p>
    <w:p>
      <w:pPr>
        <w:spacing w:after="0" w:line="211" w:lineRule="exact"/>
        <w:rPr>
          <w:rFonts w:ascii="Arial" w:cs="Arial" w:eastAsia="Arial" w:hAnsi="Arial"/>
          <w:sz w:val="18"/>
          <w:szCs w:val="18"/>
          <w:color w:val="auto"/>
        </w:rPr>
      </w:pPr>
    </w:p>
    <w:p>
      <w:pPr>
        <w:ind w:left="60" w:right="339" w:firstLine="638"/>
        <w:spacing w:after="0" w:line="253" w:lineRule="auto"/>
        <w:tabs>
          <w:tab w:leader="none" w:pos="13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168" w:lineRule="exact"/>
        <w:rPr>
          <w:rFonts w:ascii="Arial" w:cs="Arial" w:eastAsia="Arial" w:hAnsi="Arial"/>
          <w:sz w:val="18"/>
          <w:szCs w:val="18"/>
          <w:color w:val="auto"/>
        </w:rPr>
      </w:pPr>
    </w:p>
    <w:p>
      <w:pPr>
        <w:ind w:left="60" w:right="419" w:firstLine="638"/>
        <w:spacing w:after="0" w:line="271" w:lineRule="auto"/>
        <w:tabs>
          <w:tab w:leader="none" w:pos="13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limits our ability to obtain additional financing or refinancing in the future for working capital, clinical trials, research and development, or other purposes.</w:t>
      </w:r>
    </w:p>
    <w:p>
      <w:pPr>
        <w:spacing w:after="0" w:line="154"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Any of the above-listed factors could materially adversely affect our business, financial condition, results of operations, and cash flows. The Loan Agreement also contains certain financial and other covenants, including limitations on, among other things, additional indebtedness, out licensing,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which could have a material adverse effect on our business, financial condition, and results of operations.</w:t>
      </w:r>
    </w:p>
    <w:p>
      <w:pPr>
        <w:spacing w:after="0" w:line="187"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59"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expose us to broadly applicable foreign, federal and state fraud and abuse, and other healthcare and privacy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176" w:lineRule="exact"/>
        <w:rPr>
          <w:sz w:val="20"/>
          <w:szCs w:val="20"/>
          <w:color w:val="auto"/>
        </w:rPr>
      </w:pPr>
    </w:p>
    <w:p>
      <w:pPr>
        <w:ind w:left="60" w:right="99" w:firstLine="638"/>
        <w:spacing w:after="0" w:line="239" w:lineRule="auto"/>
        <w:tabs>
          <w:tab w:leader="none" w:pos="13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179" w:lineRule="exact"/>
        <w:rPr>
          <w:rFonts w:ascii="Arial" w:cs="Arial" w:eastAsia="Arial" w:hAnsi="Arial"/>
          <w:sz w:val="18"/>
          <w:szCs w:val="18"/>
          <w:color w:val="auto"/>
        </w:rPr>
      </w:pPr>
    </w:p>
    <w:p>
      <w:pPr>
        <w:ind w:left="60" w:right="79" w:firstLine="638"/>
        <w:spacing w:after="0" w:line="242" w:lineRule="auto"/>
        <w:tabs>
          <w:tab w:leader="none" w:pos="13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which prohibits,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firstLine="638"/>
        <w:spacing w:after="0"/>
        <w:tabs>
          <w:tab w:leader="none" w:pos="13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liability and amends provisions on the reporting, investigation, enforcement, and penalizing of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0" w:lineRule="exact"/>
        <w:rPr>
          <w:rFonts w:ascii="Arial" w:cs="Arial" w:eastAsia="Arial" w:hAnsi="Arial"/>
          <w:sz w:val="18"/>
          <w:szCs w:val="18"/>
          <w:color w:val="auto"/>
        </w:rPr>
      </w:pPr>
    </w:p>
    <w:p>
      <w:pPr>
        <w:ind w:left="60" w:right="59" w:firstLine="638"/>
        <w:spacing w:after="0"/>
        <w:tabs>
          <w:tab w:leader="none" w:pos="13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implementing regulations, also impose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that perform certain services for or on their behalf involving the use or disclosure of individually identifiable health information;</w:t>
      </w:r>
    </w:p>
    <w:p>
      <w:pPr>
        <w:spacing w:after="0" w:line="184" w:lineRule="exact"/>
        <w:rPr>
          <w:rFonts w:ascii="Arial" w:cs="Arial" w:eastAsia="Arial" w:hAnsi="Arial"/>
          <w:sz w:val="18"/>
          <w:szCs w:val="18"/>
          <w:color w:val="auto"/>
        </w:rPr>
      </w:pPr>
    </w:p>
    <w:p>
      <w:pPr>
        <w:ind w:left="60" w:right="99" w:firstLine="638"/>
        <w:spacing w:after="0" w:line="239" w:lineRule="auto"/>
        <w:tabs>
          <w:tab w:leader="none" w:pos="13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and teaching hospitals, as well as ownership and investment interests held by the physicians described above and their immediate family members, and beginning in 2022, applicable manufacturers are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nurse-midwives;</w:t>
      </w:r>
    </w:p>
    <w:p>
      <w:pPr>
        <w:spacing w:after="0" w:line="183" w:lineRule="exact"/>
        <w:rPr>
          <w:rFonts w:ascii="Arial" w:cs="Arial" w:eastAsia="Arial" w:hAnsi="Arial"/>
          <w:sz w:val="18"/>
          <w:szCs w:val="18"/>
          <w:color w:val="auto"/>
        </w:rPr>
      </w:pPr>
    </w:p>
    <w:p>
      <w:pPr>
        <w:jc w:val="both"/>
        <w:ind w:left="60" w:right="99" w:firstLine="638"/>
        <w:spacing w:after="0" w:line="253" w:lineRule="auto"/>
        <w:tabs>
          <w:tab w:leader="none" w:pos="13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Foreign Corrupt Practices Act, or FCPA, which prohibits companies and their intermediaries from making, or offering or promising to make improper payments to non-United States officials for the purpose of obtaining or retaining business or otherwise seeking favorable treatment; and</w:t>
      </w:r>
    </w:p>
    <w:p>
      <w:pPr>
        <w:spacing w:after="0" w:line="168" w:lineRule="exact"/>
        <w:rPr>
          <w:rFonts w:ascii="Arial" w:cs="Arial" w:eastAsia="Arial" w:hAnsi="Arial"/>
          <w:sz w:val="18"/>
          <w:szCs w:val="18"/>
          <w:color w:val="auto"/>
        </w:rPr>
      </w:pPr>
    </w:p>
    <w:p>
      <w:pPr>
        <w:ind w:left="60" w:right="119" w:firstLine="638"/>
        <w:spacing w:after="0" w:line="237" w:lineRule="auto"/>
        <w:tabs>
          <w:tab w:leader="none" w:pos="13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our business practices, including but not limited to, research, distribution, sales, and marketing arrangements and claims involving healthcare items or services reimbursed by non- governmental third-party payors,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and biologic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state and foreign laws governing the privacy and security of health information in some circumstances, many of which differ from each other in significant ways and often are not preempted by HIPAA; state and foreign governments that have enacted or proposed requirements regarding the collection, retention, distribution, use, security, sharing, transfer, storage, and other processing of personally identifiable information and other data relating to individuals (including the EU General Data Protection Regulation 2016/679, or GDPR, and the California Consumer Protection Act, or CCPA), and federal and state consumer protection laws are being applied to enforce regulations related to the online collection, use, and dissemination of data, thus complicating compliance efforts.</w:t>
      </w:r>
    </w:p>
    <w:p>
      <w:pPr>
        <w:spacing w:after="0" w:line="182" w:lineRule="exact"/>
        <w:rPr>
          <w:sz w:val="20"/>
          <w:szCs w:val="20"/>
          <w:color w:val="auto"/>
        </w:rPr>
      </w:pPr>
    </w:p>
    <w:p>
      <w:pPr>
        <w:jc w:val="both"/>
        <w:ind w:left="60" w:right="579"/>
        <w:spacing w:after="0" w:line="275" w:lineRule="auto"/>
        <w:rPr>
          <w:sz w:val="20"/>
          <w:szCs w:val="20"/>
          <w:color w:val="auto"/>
        </w:rPr>
      </w:pPr>
      <w:r>
        <w:rPr>
          <w:rFonts w:ascii="Arial" w:cs="Arial" w:eastAsia="Arial" w:hAnsi="Arial"/>
          <w:sz w:val="17"/>
          <w:szCs w:val="17"/>
          <w:color w:val="auto"/>
        </w:rPr>
        <w:t>Ensuring that our internal operations and business arrangements with third parties comply with applicable healthcare laws and regulations involves substantial costs. It is possible that governmental authorities will conclude that our business practices, including any consulting and advisory board arrangements with</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physicians and other healthcare providers,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United States government funded healthcare programs, such as Medicare and Medicaid, or similar programs in other countries or jurisdictions, disgorgement, individual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188" w:lineRule="exact"/>
        <w:rPr>
          <w:sz w:val="20"/>
          <w:szCs w:val="20"/>
          <w:color w:val="auto"/>
        </w:rPr>
      </w:pPr>
    </w:p>
    <w:p>
      <w:pPr>
        <w:ind w:left="60" w:right="219"/>
        <w:spacing w:after="0" w:line="256" w:lineRule="auto"/>
        <w:rPr>
          <w:sz w:val="20"/>
          <w:szCs w:val="20"/>
          <w:color w:val="auto"/>
        </w:rPr>
      </w:pPr>
      <w:r>
        <w:rPr>
          <w:rFonts w:ascii="Arial" w:cs="Arial" w:eastAsia="Arial" w:hAnsi="Arial"/>
          <w:sz w:val="18"/>
          <w:szCs w:val="18"/>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15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products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w:t>
      </w:r>
    </w:p>
    <w:p>
      <w:pPr>
        <w:spacing w:after="0" w:line="18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ACA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administrative, executive, and legislative efforts to modify or eliminate the ACA. For example, the Tax Cuts and Jobs Act, enacted on December 22, 2017, repealed the shared responsibility payment for individuals who fail to maintain minimum essential coverage under section 5000A of the Code, commonly referred to as the individual mandate. Other legislative changes have been proposed and adopted since passage of the ACA. The ACA has also been subject to challenges in the courts. On December 14, 2018, a Texas U.S. District Court Judge ruled that the ACA is unconstitutional in its entirety because the “individual mandate” was repealed by the United States Congress, or Congress. On December 18, 2019, the Fifth Circuit U.S. Court of Appeals held that the individual mandate is unconstitutional and remanded the case to the Texas District Court to reconsider its earlier invalidation of the entire ACA. An appeal was taken to the U.S. Supreme Court and on June 17, 2021, the Supreme Court ruled that the plaintiffs lacked standing to challenge the law as they had not alleged personal injury traceable to the allegedly unlawful conduct. As a result, the Supreme Court did not rule on the constitutionality of the ACA or any of its provisions.</w:t>
      </w:r>
    </w:p>
    <w:p>
      <w:pPr>
        <w:spacing w:after="0" w:line="188"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Further changes to and under the ACA remain possible but it is unknown what form any such changes or any law proposed to replace or revise the ACA would take, and how or whether it may affect our business in the future. We expect that changes to the ACA, the Medicare and Medicaid programs, changes allowing the federal government to directly negotiate drug and biologic prices, and changes stemming from other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9"/>
        <w:spacing w:after="0" w:line="271" w:lineRule="auto"/>
        <w:rPr>
          <w:sz w:val="20"/>
          <w:szCs w:val="20"/>
          <w:color w:val="auto"/>
        </w:rPr>
      </w:pPr>
      <w:r>
        <w:rPr>
          <w:rFonts w:ascii="Arial" w:cs="Arial" w:eastAsia="Arial" w:hAnsi="Arial"/>
          <w:sz w:val="18"/>
          <w:szCs w:val="18"/>
          <w:color w:val="auto"/>
        </w:rPr>
        <w:t>healthcare reform measures, especially with regard to healthcare access, financing, or other legislation in individual states, could have a material adverse effect on the healthcare industry.</w:t>
      </w:r>
    </w:p>
    <w:p>
      <w:pPr>
        <w:spacing w:after="0" w:line="154" w:lineRule="exact"/>
        <w:rPr>
          <w:sz w:val="20"/>
          <w:szCs w:val="20"/>
          <w:color w:val="auto"/>
        </w:rPr>
      </w:pPr>
    </w:p>
    <w:p>
      <w:pPr>
        <w:ind w:left="60" w:right="499"/>
        <w:spacing w:after="0" w:line="242" w:lineRule="auto"/>
        <w:rPr>
          <w:sz w:val="20"/>
          <w:szCs w:val="20"/>
          <w:color w:val="auto"/>
        </w:rPr>
      </w:pPr>
      <w:r>
        <w:rPr>
          <w:rFonts w:ascii="Arial" w:cs="Arial" w:eastAsia="Arial" w:hAnsi="Arial"/>
          <w:sz w:val="18"/>
          <w:szCs w:val="18"/>
          <w:color w:val="auto"/>
        </w:rPr>
        <w:t>The Budget Control Act of 2011 has resulted in reductions in spending on certain government programs, including aggregate reductions to Medicare payments to healthcare providers of up to 2.0% per fiscal year. These reductions have been extended until 2030 although adjustments have been made as a result of the ongoing COVID-19 pandemic. The 2% reduction was suspended through March 31, 2022. Following the suspension, a 1% payment reduction began April 1, 2022, and remained through June 30, 2022. The 2% payment reduction resumed on July 1, 2022.</w:t>
      </w:r>
    </w:p>
    <w:p>
      <w:pPr>
        <w:spacing w:after="0" w:line="17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and maintain profitability of our product and product candidates, if approved.</w:t>
      </w:r>
    </w:p>
    <w:p>
      <w:pPr>
        <w:spacing w:after="0" w:line="174"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CNTY-101 or any future product candidates may lose any marketing approval that may have been obtained and we may not achieve or sustain profitability, which would materially adversely affect our business, financial condition, and results of operations.</w:t>
      </w:r>
    </w:p>
    <w:p>
      <w:pPr>
        <w:spacing w:after="0" w:line="181" w:lineRule="exact"/>
        <w:rPr>
          <w:sz w:val="20"/>
          <w:szCs w:val="20"/>
          <w:color w:val="auto"/>
        </w:rPr>
      </w:pPr>
    </w:p>
    <w:p>
      <w:pPr>
        <w:ind w:left="60" w:right="79"/>
        <w:spacing w:after="0" w:line="27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13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are required to maintain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in our Annual Reports on Form 10-K, as required by Section 404 of the Sarbanes-Oxley Act of 2002, or the Sarbanes-Oxley Act. This has required us to incur substantial additional professional fees and internal costs to expand our accounting and finance functions and we have expended significant management efforts as compared to prior to our IPO, when we were not required to test our internal controls. 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w:t>
      </w:r>
    </w:p>
    <w:p>
      <w:pPr>
        <w:spacing w:after="0" w:line="18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If we are not able to comply with the requirements of Section 404 of the Sarbanes-Oxley Act in a timely manner, if our independent registered public accounting firm determines that we have a material weakness or a significant deficiency in our internal control over financial reporting, or we are unable to maintain proper and effective internal controls over financial reporting, we may not be able to produce timely and accurate financial statements. As a result, our investors could lose confidence in our reported financial information, the market price of our stock could decline, and we could be subject to sanctions or investigations by the SEC or other regulatory authorities.</w:t>
      </w:r>
    </w:p>
    <w:p>
      <w:pPr>
        <w:spacing w:after="0" w:line="18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believe that any internal controls and procedures, no matter how well-conceived and operated, can provide only reasonable, not absolute, assurance that the objectives of the control system are met. We may discover weaknesses in our system of internal financial and accounting controls and procedures that could result in a material misstatement of our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may not be detected.</w:t>
      </w:r>
    </w:p>
    <w:p>
      <w:pPr>
        <w:spacing w:after="0" w:line="187" w:lineRule="exact"/>
        <w:rPr>
          <w:sz w:val="20"/>
          <w:szCs w:val="20"/>
          <w:color w:val="auto"/>
        </w:rPr>
      </w:pPr>
    </w:p>
    <w:p>
      <w:pPr>
        <w:ind w:left="60" w:right="299"/>
        <w:spacing w:after="0" w:line="256" w:lineRule="auto"/>
        <w:rPr>
          <w:sz w:val="20"/>
          <w:szCs w:val="20"/>
          <w:color w:val="auto"/>
        </w:rPr>
      </w:pPr>
      <w:r>
        <w:rPr>
          <w:rFonts w:ascii="Arial" w:cs="Arial" w:eastAsia="Arial" w:hAnsi="Arial"/>
          <w:sz w:val="18"/>
          <w:szCs w:val="18"/>
          <w:b w:val="1"/>
          <w:bCs w:val="1"/>
          <w:i w:val="1"/>
          <w:iCs w:val="1"/>
          <w:color w:val="auto"/>
        </w:rPr>
        <w:t>We, or our CMOs or suppliers, may use potent chemical agents and hazardous materials, and any claims relating to improper handling, storage or disposal of these materials could be time-consuming or costly.</w:t>
      </w:r>
    </w:p>
    <w:p>
      <w:pPr>
        <w:spacing w:after="0" w:line="159"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We, or our CMOs or suppliers, including FCDI, use biological materials, potent chemical agents and may use hazardous materials, including chemicals and biological agents and compounds that could be dangerous to human health and safety of the environment. The operations of our CMOs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w:t>
      </w:r>
    </w:p>
    <w:p>
      <w:pPr>
        <w:spacing w:after="0" w:line="185"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78" w:lineRule="exact"/>
        <w:rPr>
          <w:sz w:val="20"/>
          <w:szCs w:val="20"/>
          <w:color w:val="auto"/>
        </w:rPr>
      </w:pPr>
    </w:p>
    <w:p>
      <w:pPr>
        <w:ind w:left="60" w:right="619"/>
        <w:spacing w:after="0" w:line="27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products.</w:t>
      </w:r>
    </w:p>
    <w:p>
      <w:pPr>
        <w:spacing w:after="0" w:line="139"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While we currently have no product candidates that have been approved for commercial sale, the future use of product candidates by us in clinical trials, and the sale of any approved products in the future, may expose us to liability claims. For example, we may be sued if CNTY-101 and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80"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174" w:lineRule="exact"/>
        <w:rPr>
          <w:sz w:val="20"/>
          <w:szCs w:val="20"/>
          <w:color w:val="auto"/>
        </w:rPr>
      </w:pPr>
    </w:p>
    <w:p>
      <w:pPr>
        <w:ind w:left="1340" w:hanging="642"/>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40" w:hanging="642"/>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negative financial impact;</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to commercialize CNTY-101 or our other product candidates;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currently hold product liability coverage in an amount we consider reasonable. We may need to increase our insurance coverage as we expand our clinical trials or if we commence commercialization of CNTY-101 or our other product candidates. Insurance coverage is increasingly expensive. Our inability to obtain and retain sufficient product liability insurance at an acceptable cost to protect against potential product liability claims could prevent or inhibit the commercialization of CNTY-101 or our other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88" w:lineRule="exact"/>
        <w:rPr>
          <w:sz w:val="20"/>
          <w:szCs w:val="20"/>
          <w:color w:val="auto"/>
        </w:rPr>
      </w:pPr>
    </w:p>
    <w:p>
      <w:pPr>
        <w:ind w:left="60" w:right="79"/>
        <w:spacing w:after="0" w:line="278" w:lineRule="auto"/>
        <w:rPr>
          <w:sz w:val="20"/>
          <w:szCs w:val="20"/>
          <w:color w:val="auto"/>
        </w:rPr>
      </w:pPr>
      <w:r>
        <w:rPr>
          <w:rFonts w:ascii="Arial" w:cs="Arial" w:eastAsia="Arial" w:hAnsi="Arial"/>
          <w:sz w:val="17"/>
          <w:szCs w:val="17"/>
          <w:b w:val="1"/>
          <w:bCs w:val="1"/>
          <w:i w:val="1"/>
          <w:iCs w:val="1"/>
          <w:color w:val="auto"/>
        </w:rPr>
        <w:t>We may be unable to adequately protect our or our vendors’ information systems from cyberattacks or other incidents, which could result in the disclosure of confidential or proprietary information, including personal data, damage our reputation, and subject us to significant financial and legal exposure.</w:t>
      </w:r>
    </w:p>
    <w:p>
      <w:pPr>
        <w:spacing w:after="0" w:line="14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Despite our implementation of security measures, our internal computer systems, and those of our CROs, CMOs, information technology suppliers, and other contractors and consultants are vulnerable to damage from computer viruses, cyberattacks, and other unauthorized access, natural disasters, terrorism, war, and telecommunication and electrical failures. Additionally, our security measures or those of our vendors could be breached as a result of employee theft, exfiltration, misuse, malfeasance, or unintentional events. A successful cyberattack or other data security incident could result in the theft or destruction of intellectual property, data, or other misappropriation of assets, or otherwise compromise our confidential or proprietary information and disrupt our operations. Cyberattacks could include wrongful conduct by hostile foreign governments, industrial espionage, wire fraud, and other forms of cyber fraud, the deployment of harmful malware, ransomware,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5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18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We also cannot be certain that our existing insurance coverage will cover any claims against us relating to any security incident or breach, will be available in sufficient amounts to cover the potentially significant losses that may result from a security incident or breach, will continue to be available on acceptable terms or at all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87" w:lineRule="exact"/>
        <w:rPr>
          <w:sz w:val="20"/>
          <w:szCs w:val="20"/>
          <w:color w:val="auto"/>
        </w:rPr>
      </w:pPr>
    </w:p>
    <w:p>
      <w:pPr>
        <w:ind w:left="60" w:right="299"/>
        <w:spacing w:after="0" w:line="249" w:lineRule="auto"/>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16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or our collaborators collect, use, process, store and transfer certain personal and/or confidential information as part of our normal business operations. We are therefore subject to federal, state, and international laws and regulations governing the privacy and security of confidential information and personal data. In the United States, we are subject to numerous federal and state laws and regulations, including federal health information privacy laws, state data breach notification laws, state health information privacy laws, and federal and state consumer protection laws, governing the collection, use, disclosure, storage, transfer, protection, and disposal of health-related and other the personal and/or confidential information we and/or our collaborators utilize A failure to comply with these current or future federal, state, and international laws and regulations and industry standards relating to data privacy and security could lead to investigatory or regulatory action, private litigation or class actions that could result in exposure to civil or criminal penalties, monetary or statutory damages, attorney fee awards and/or exposure to adverse publicity that could negatively affect our operating results and business.</w:t>
      </w:r>
    </w:p>
    <w:p>
      <w:pPr>
        <w:spacing w:after="0" w:line="183"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Many state legislatures have adopted legislation that regulates how businesses operate online, including measures relating to privacy, data security, and data breaches, and laws in all 50 states require businesses to provide notice to customers whose personally identifiable information has been disclosed as a result of a data breach. Such laws are not consistent, and compliance in the event of a widespread security incident may be costly and could disrupt our operations. By way of example, the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Additionally, a new privacy law, the California Privacy Rights Act, or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 CPRA, was approved by California voters in the election of November 3, 2020. The CPRA, which will take effect in most material respects on January 1, 2023, modifies the CCPA significantly, potentially resulting in further uncertainty and requiring us to incur additional costs and expenses in an effort to comply.</w:t>
      </w:r>
    </w:p>
    <w:p>
      <w:pPr>
        <w:spacing w:after="0" w:line="169"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Foreign data protection laws, including the GDPR, may also apply to health-related and other personal information belonging to individuals who reside outside of the United States. The GDPR went into effect in the European Union in May 2018 and introduced strict requirements for processing the personal data of data subjects residing in the European Economic Area, or EEA.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 -party processors.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9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GDPR also regulates cross-border transfers of personal data and requires transferee countries to have protections equivalent to protections available in the EEA. Unless the destination country is an adequate country (as recognized by the European Commission), we will be required to incorporate a GDPR transfer mechanism (such as the European Commission approved standard contractual clauses, or SCCs,) into our agreements with third parties to govern transfers of personal data outside the EEA. The new SCCs may also impact our business as companies based in the EEA may be reluctant to utilize the new clauses to legitimize transfers of personal data to third countries given the burdensome requirements of transfer impact assessments and the substantial obligations that the new SCCs impose upon exporters.</w:t>
      </w:r>
    </w:p>
    <w:p>
      <w:pPr>
        <w:spacing w:after="0" w:line="194" w:lineRule="exact"/>
        <w:rPr>
          <w:sz w:val="20"/>
          <w:szCs w:val="20"/>
          <w:color w:val="auto"/>
        </w:rPr>
      </w:pPr>
    </w:p>
    <w:p>
      <w:pPr>
        <w:jc w:val="both"/>
        <w:ind w:left="60" w:right="119"/>
        <w:spacing w:after="0" w:line="296" w:lineRule="auto"/>
        <w:rPr>
          <w:sz w:val="20"/>
          <w:szCs w:val="20"/>
          <w:color w:val="auto"/>
        </w:rPr>
      </w:pPr>
      <w:r>
        <w:rPr>
          <w:rFonts w:ascii="Arial" w:cs="Arial" w:eastAsia="Arial" w:hAnsi="Arial"/>
          <w:sz w:val="17"/>
          <w:szCs w:val="17"/>
          <w:color w:val="auto"/>
        </w:rPr>
        <w:t>Further, the United Kingdom’s exit from the European Union, referred to as Brexit, has created uncertainty with regard to data protection regulation in the United Kingdom. The United Kingdom has transposed the GDPR into domestic law with a United Kingdom version of the GDPR that took effect in January 2021, or the UK GDPR.</w:t>
      </w:r>
    </w:p>
    <w:p>
      <w:pPr>
        <w:spacing w:after="0" w:line="2"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UK GDPR and the UK Data Protection Act 2018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GDPR and, therefore, transfers of personal data originating in the EEA to the UK remain unrestricted. Like the GDPR, the UK GDPR restricts personal data transfers outside the UK to countries not regarded by the UK as providing adequate protection. It is not subject to the new forms of SCCs but has issued its own transfer mechanism – the UK international data transfer agreement – which, like the SCCs, requires exporters to carry out a transfer impact assessment. The UK government has confirmed that personal data transfers from the UK to the EEA remain free flowing. The UK Government has also now introduced a Data Protection and Digital Information Bill (or the UK Bill) into the UK legislative process with the intention for this bill to reform the UK’s data protection regime following Brexit. If passed, the final version of the UK Bill may have the effect of further altering the similarities between the UK and EU data protection regime and threaten the UK Adequacy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99"/>
        <w:spacing w:after="0" w:line="318" w:lineRule="auto"/>
        <w:rPr>
          <w:sz w:val="20"/>
          <w:szCs w:val="20"/>
          <w:color w:val="auto"/>
        </w:rPr>
      </w:pPr>
      <w:r>
        <w:rPr>
          <w:rFonts w:ascii="Arial" w:cs="Arial" w:eastAsia="Arial" w:hAnsi="Arial"/>
          <w:sz w:val="18"/>
          <w:szCs w:val="18"/>
          <w:color w:val="auto"/>
        </w:rPr>
        <w:t>Decision from the EU Commission. This may lead to additional compliance costs and could increase our overall risk.</w:t>
      </w:r>
    </w:p>
    <w:p>
      <w:pPr>
        <w:spacing w:after="0" w:line="36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Compliance with U.S. federal and state laws and foreign data protection laws and regulations could require us to take on more onerous obligations in our contracts, restrict our ability to collect, use and disclose data, or in some cases, impact our ability to operate in certain jurisdictions. Failure by us or our collaborators to comply with United States and foreign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188" w:lineRule="exact"/>
        <w:rPr>
          <w:sz w:val="20"/>
          <w:szCs w:val="20"/>
          <w:color w:val="auto"/>
        </w:rPr>
      </w:pPr>
    </w:p>
    <w:p>
      <w:pPr>
        <w:ind w:left="60" w:right="139"/>
        <w:spacing w:after="0" w:line="256"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5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or biologic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do not currently own any issued patents relating to our product candidates.</w:t>
      </w:r>
    </w:p>
    <w:p>
      <w:pPr>
        <w:spacing w:after="0" w:line="210"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Given the early stage of development of our product candidates, our patent portfolio is similarly at a very early stage. In particular, we do not own any issued patents. If we do not obtain meaningful patent coverage for our product candidates, their respective components, formulations, combination therapies, methods used to manufacture them, and methods of treatment, competitors may be able to erode or negate any competitive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advantage we may have, which would likely harm our business and ability to achieve profitability. To establish our proprietary position, we have filed patent applications in the United States and internationally related to CNTY-101 and have filed provisional patent applications on other aspects of our technology. However, United States provisional patent applications are not eligible to become issued patents unless and until, among other things, we file a non-provisional patent application within 12 months of filing of one or more of our related provisional patent applications.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we are unable to secure or maintain patent protection with respect to our antibody technology and any proprietary products and technology we develop, our business, financial condition, results of operations, and prospects could be materially harmed.</w:t>
      </w:r>
    </w:p>
    <w:p>
      <w:pPr>
        <w:spacing w:after="0" w:line="182" w:lineRule="exact"/>
        <w:rPr>
          <w:sz w:val="20"/>
          <w:szCs w:val="20"/>
          <w:color w:val="auto"/>
        </w:rPr>
      </w:pPr>
    </w:p>
    <w:p>
      <w:pPr>
        <w:ind w:left="60" w:right="199"/>
        <w:spacing w:after="0" w:line="278" w:lineRule="auto"/>
        <w:rPr>
          <w:sz w:val="20"/>
          <w:szCs w:val="20"/>
          <w:color w:val="auto"/>
        </w:rPr>
      </w:pPr>
      <w:r>
        <w:rPr>
          <w:rFonts w:ascii="Arial" w:cs="Arial" w:eastAsia="Arial" w:hAnsi="Arial"/>
          <w:sz w:val="18"/>
          <w:szCs w:val="18"/>
          <w:b w:val="1"/>
          <w:bCs w:val="1"/>
          <w:i w:val="1"/>
          <w:iCs w:val="1"/>
          <w:color w:val="auto"/>
        </w:rPr>
        <w:t>If any of our license agreements with FCDI are terminated, we could lose our rights to key components enabling our iPSC-derived allogeneic cell therapy platforms.</w:t>
      </w:r>
    </w:p>
    <w:p>
      <w:pPr>
        <w:spacing w:after="0" w:line="13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Our commercial success will depend in part on the maintenance of our license agreements. In September 2018, we entered into an exclusive license with FCDI, pursuant to which we have received an exclusive license to certain patents and know-how related to the differentiation of iPSC cells into immune-effector cells in the field of cancer immunotherapeutics, or the Differentiation License, and a non-exclusive license for the rights to certain patents and know-how related to the reprogramming of human somatic cells to iPSCs in the field of cancer immunotherapeutics, or the Reprogramming License, and together with the Differentiation License, the FCDI Licenses. A critical aspect to manufacturing our product candidates involves the reprogramming of certain cells into iPSCs and the differentiation of iPSCs into immune cells. We utilize technology licensed from FCDI to reprogram cells to become iPSCs and to differentiate the iPSCs to generate different immune cell types including NK cells and T cells. By utilizing this licensed technology, we are currently capable of achieving fully functional iNK cells from iPSCs in approximately 30 days.</w:t>
      </w:r>
    </w:p>
    <w:p>
      <w:pPr>
        <w:spacing w:after="0" w:line="18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FCDI Licenses impose, and future license agreements may impose, various diligence, milestone payment, royalty, and other obligations on us. If we fail to comply with our obligations under the FCDI Licenses, our other license agreements, or any future license agreements with any party, or we are subject to a bankruptcy, the licensor may have the right to terminate the license, in which event we would not be able to develop products covered by such license.</w:t>
      </w:r>
    </w:p>
    <w:p>
      <w:pPr>
        <w:spacing w:after="0" w:line="1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If, for any reason, the FCDI Licenses or certain of our other license agreements are terminated or we otherwise lose the rights under such agreements, it would adversely affect our business. If we breach any material obligations under the FCDI Licenses or certain of our other license agreements, FCDI or the applicable licensor may have the right to terminate our license, which could result in us being unable to develop, manufacture, or sell our product candidates that incorporate the intellectual property subject to such license.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or at all.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579"/>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intellectual property rights in the future for the development of CNTY-101 and our other product candidates.</w:t>
      </w:r>
    </w:p>
    <w:p>
      <w:pPr>
        <w:spacing w:after="0" w:line="13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may in the future enter into additional license agreements with third parties for other intellectual property rights or assets to advance our research or allow commercialization of CNTY-101 and our other product candidates, and we cannot provide any assurances that third-party patents do not exist which might be enforced against CNTY-101 and our other product candidates in the absence of such a license. We may fail to obtain any of these licenses on commercially reasonable terms, if at all. Even if we are able to obtain a license, it may be non-exclusive or may not provide exclusive rights to use such intellectual property and technology in all relevant fields of use and in all territories, thereby giving our competitors access to the same technologies licensed to us. In that event, we may be required to expend significant time and resources to develop or license replacement technology, which may not be feasible on a technical or commercial basis.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8" w:lineRule="exact"/>
        <w:rPr>
          <w:sz w:val="20"/>
          <w:szCs w:val="20"/>
          <w:color w:val="auto"/>
        </w:rPr>
      </w:pPr>
    </w:p>
    <w:p>
      <w:pPr>
        <w:ind w:left="60" w:right="79" w:firstLine="638"/>
        <w:spacing w:after="0" w:line="247" w:lineRule="auto"/>
        <w:tabs>
          <w:tab w:leader="none" w:pos="13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 the resolution of which could narrow what we believe to be the scope of our rights to the relevant intellectual property or technology, or increase what we believe to be our financial or other obligations under the relevant agreement;</w:t>
      </w:r>
    </w:p>
    <w:p>
      <w:pPr>
        <w:spacing w:after="0" w:line="173" w:lineRule="exact"/>
        <w:rPr>
          <w:rFonts w:ascii="Arial" w:cs="Arial" w:eastAsia="Arial" w:hAnsi="Arial"/>
          <w:sz w:val="18"/>
          <w:szCs w:val="18"/>
          <w:color w:val="auto"/>
        </w:rPr>
      </w:pPr>
    </w:p>
    <w:p>
      <w:pPr>
        <w:ind w:left="60" w:right="499" w:firstLine="638"/>
        <w:spacing w:after="0" w:line="271" w:lineRule="auto"/>
        <w:tabs>
          <w:tab w:leader="none" w:pos="13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that is not subject to the licensing agreement;</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sublicense patents and other intellectual property rights to third parties;</w:t>
      </w:r>
    </w:p>
    <w:p>
      <w:pPr>
        <w:spacing w:after="0" w:line="211" w:lineRule="exact"/>
        <w:rPr>
          <w:rFonts w:ascii="Arial" w:cs="Arial" w:eastAsia="Arial" w:hAnsi="Arial"/>
          <w:sz w:val="18"/>
          <w:szCs w:val="18"/>
          <w:color w:val="auto"/>
        </w:rPr>
      </w:pPr>
    </w:p>
    <w:p>
      <w:pPr>
        <w:ind w:left="60" w:right="199" w:firstLine="638"/>
        <w:spacing w:after="0" w:line="253" w:lineRule="auto"/>
        <w:tabs>
          <w:tab w:leader="none" w:pos="13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CNTY-101 and our other product candidates, and what activities satisfy those diligence obligations;</w:t>
      </w:r>
    </w:p>
    <w:p>
      <w:pPr>
        <w:spacing w:after="0" w:line="168"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211" w:lineRule="exact"/>
        <w:rPr>
          <w:rFonts w:ascii="Arial" w:cs="Arial" w:eastAsia="Arial" w:hAnsi="Arial"/>
          <w:sz w:val="18"/>
          <w:szCs w:val="18"/>
          <w:color w:val="auto"/>
        </w:rPr>
      </w:pPr>
    </w:p>
    <w:p>
      <w:pPr>
        <w:ind w:left="60" w:right="299" w:firstLine="638"/>
        <w:spacing w:after="0" w:line="271" w:lineRule="auto"/>
        <w:tabs>
          <w:tab w:leader="none" w:pos="13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ownership of inventions, know-how, and other intellectual property resulting from the joint creation or use of intellectual property by our licensors and us and our partners.</w:t>
      </w:r>
    </w:p>
    <w:p>
      <w:pPr>
        <w:spacing w:after="0" w:line="154" w:lineRule="exact"/>
        <w:rPr>
          <w:sz w:val="20"/>
          <w:szCs w:val="20"/>
          <w:color w:val="auto"/>
        </w:rPr>
      </w:pPr>
    </w:p>
    <w:p>
      <w:pPr>
        <w:jc w:val="both"/>
        <w:ind w:left="60" w:right="279"/>
        <w:spacing w:after="0" w:line="25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16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agreements with respect to any licensed product, we may be required to pay a specified percentage of all revenue to be received in connection with such transaction.</w:t>
      </w:r>
    </w:p>
    <w:p>
      <w:pPr>
        <w:spacing w:after="0" w:line="17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Under one of the FCDI Licenses and certain other in-licenses under which we sublicense certain rights related to our technology, we rely on FCDI and our other sub licensors to comply with their obligations under their upstream license agreements where we may have no relationship with the original licensor of such rights. If our sub licensors fail to comply with their obligations under their upstream license agreements, and the upstream license agreements are consequently terminated, such termination may result in the termination of our sublicenses and loss of such rights.</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339"/>
        <w:spacing w:after="0" w:line="278" w:lineRule="auto"/>
        <w:rPr>
          <w:sz w:val="20"/>
          <w:szCs w:val="20"/>
          <w:color w:val="auto"/>
        </w:rPr>
      </w:pPr>
      <w:r>
        <w:rPr>
          <w:rFonts w:ascii="Arial" w:cs="Arial" w:eastAsia="Arial" w:hAnsi="Arial"/>
          <w:sz w:val="18"/>
          <w:szCs w:val="18"/>
          <w:b w:val="1"/>
          <w:bCs w:val="1"/>
          <w:i w:val="1"/>
          <w:iCs w:val="1"/>
          <w:color w:val="auto"/>
        </w:rPr>
        <w:t>Our success depends on our ability to obtain, maintain, protect, and enforce our intellectual property and our proprietary technologies.</w:t>
      </w:r>
    </w:p>
    <w:p>
      <w:pPr>
        <w:spacing w:after="0" w:line="13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Our commercial success depends in part on our ability to obtain, maintain, protect, and enforce our intellectual property and proprietary technologies, including patent protection and trade secret protection for CNTY-101 and our other product candidates, proprietary technologies and their uses as well as our ability to operate without infringing, misappropriating, or otherwise violating the intellectual property or proprietary rights of others. If we are unable to obtain, maintain, protect, or enforce our intellectual property rights or if our intellectual property rights are inadequate for our technology or our product candidates, our competitive position could be harmed, which could have a material adverse impact on our business, results of operations, financial conditions, and prospects. Although we have filed patent applications with respect to CNTY-101 and other aspects of our product technology, our patent portfolio is in an earlier stage of prosecution. We do not own any issued patents related to CNTY-101 and our other product candidates. Our patent applications cannot be enforced against third parties practicing the technology claimed in such applications unless, and until, patents are issued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if issued will not be infringed, misappropriated, violated, designed around or invalidated by third parties. Even issued patents may later be found invalid or unenforceable or may be modified or revoked in proceedings instituted by third parties before various patent offices or in courts. The degree of future protection for our intellectual property and proprietary rights is uncertain. Only limited protection may be available and may not adequately obtain, maintain, protect, and enforce our rights or permit us to gain or keep any competitive advantage. These uncertainties and/or limitations in our ability to properly obtain, maintain, protect, and enforce the intellectual property rights relating to CNTY-101 and our other product candidates could have a material adverse effect on our financial condition and results of operations.</w:t>
      </w:r>
    </w:p>
    <w:p>
      <w:pPr>
        <w:spacing w:after="0" w:line="193"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Because CNTY-101 is our lead product candidate, and because our other product candidates are based on similar technology, if we are unable to obtain patent protection for CNTY-101, our other product candidates in our pipeline could be significantly impaired, which could materially adversely affect our business, financial conditions, results of operations, and growth prospects.</w:t>
      </w:r>
    </w:p>
    <w:p>
      <w:pPr>
        <w:spacing w:after="0" w:line="174"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cannot be certain that the claims in our pending patent applications will be considered patentable by the United States Patent and Trademark Office, or USPTO, courts in the United States or by the patent offices and courts in foreign countries, nor can we be certain that claims that may ultimately issue from our patent applications will not be found invalid or unenforceable if challenged. If we are unable to obtain or maintain patent protection with respect to our product candidates, our business, financial condition, results of operations, and prospects could be materially harmed.</w:t>
      </w:r>
    </w:p>
    <w:p>
      <w:pPr>
        <w:spacing w:after="0" w:line="179"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The patent application process is subject to numerous risks and uncertainties, and there can be no assurance that we or any of our potential future collaborators will be successful in protecting CNTY-101 and our other product candidates by obtaining and defending patents. These risks and uncertainties include the following:</w:t>
      </w:r>
    </w:p>
    <w:p>
      <w:pPr>
        <w:spacing w:after="0" w:line="152" w:lineRule="exact"/>
        <w:rPr>
          <w:sz w:val="20"/>
          <w:szCs w:val="20"/>
          <w:color w:val="auto"/>
        </w:rPr>
      </w:pPr>
    </w:p>
    <w:p>
      <w:pPr>
        <w:ind w:left="60" w:right="299" w:firstLine="638"/>
        <w:spacing w:after="0" w:line="247" w:lineRule="auto"/>
        <w:tabs>
          <w:tab w:leader="none" w:pos="135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73" w:lineRule="exact"/>
        <w:rPr>
          <w:rFonts w:ascii="Arial" w:cs="Arial" w:eastAsia="Arial" w:hAnsi="Arial"/>
          <w:sz w:val="18"/>
          <w:szCs w:val="18"/>
          <w:color w:val="auto"/>
        </w:rPr>
      </w:pPr>
    </w:p>
    <w:p>
      <w:pPr>
        <w:ind w:left="1340" w:hanging="642"/>
        <w:spacing w:after="0"/>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11" w:lineRule="exact"/>
        <w:rPr>
          <w:rFonts w:ascii="Arial" w:cs="Arial" w:eastAsia="Arial" w:hAnsi="Arial"/>
          <w:sz w:val="18"/>
          <w:szCs w:val="18"/>
          <w:color w:val="auto"/>
        </w:rPr>
      </w:pPr>
    </w:p>
    <w:p>
      <w:pPr>
        <w:ind w:left="60" w:right="879" w:firstLine="638"/>
        <w:spacing w:after="0" w:line="271" w:lineRule="auto"/>
        <w:tabs>
          <w:tab w:leader="none" w:pos="135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259" w:firstLine="638"/>
        <w:spacing w:after="0" w:line="247" w:lineRule="auto"/>
        <w:tabs>
          <w:tab w:leader="none" w:pos="13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CNTY-101 and our other product candidates;</w:t>
      </w:r>
    </w:p>
    <w:p>
      <w:pPr>
        <w:spacing w:after="0" w:line="173" w:lineRule="exact"/>
        <w:rPr>
          <w:rFonts w:ascii="Arial" w:cs="Arial" w:eastAsia="Arial" w:hAnsi="Arial"/>
          <w:sz w:val="18"/>
          <w:szCs w:val="18"/>
          <w:color w:val="auto"/>
        </w:rPr>
      </w:pPr>
    </w:p>
    <w:p>
      <w:pPr>
        <w:ind w:left="60" w:right="99" w:firstLine="638"/>
        <w:spacing w:after="0" w:line="275" w:lineRule="auto"/>
        <w:tabs>
          <w:tab w:leader="none" w:pos="1356"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51" w:lineRule="exact"/>
        <w:rPr>
          <w:rFonts w:ascii="Arial" w:cs="Arial" w:eastAsia="Arial" w:hAnsi="Arial"/>
          <w:sz w:val="17"/>
          <w:szCs w:val="17"/>
          <w:color w:val="auto"/>
        </w:rPr>
      </w:pPr>
    </w:p>
    <w:p>
      <w:pPr>
        <w:jc w:val="both"/>
        <w:ind w:left="60" w:right="219" w:firstLine="638"/>
        <w:spacing w:after="0" w:line="253" w:lineRule="auto"/>
        <w:tabs>
          <w:tab w:leader="none" w:pos="13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United States courts, allowing foreign competitors a better opportunity to create, develop, and market competing products.</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patent prosecution process is also expensive and time-consuming,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including our collaboration with Bristol-Myers Squibb, we do not have the right to control the preparation, filing, and prosecution of patent applications, or to maintain the patents, directed to technology that we license from third parties or which are filed on products developed under the Collaboration Agreement. We may also require the cooperation of our licensor or Bristol-Myers Squibb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8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CMOs, consultants, advisors, and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licensed patents or pending patent applications, or that we were the first to file for patent protection of such inventions.</w:t>
      </w:r>
    </w:p>
    <w:p>
      <w:pPr>
        <w:spacing w:after="0" w:line="185" w:lineRule="exact"/>
        <w:rPr>
          <w:sz w:val="20"/>
          <w:szCs w:val="20"/>
          <w:color w:val="auto"/>
        </w:rPr>
      </w:pPr>
    </w:p>
    <w:p>
      <w:pPr>
        <w:ind w:left="60" w:right="259"/>
        <w:spacing w:after="0" w:line="256"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59"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which effectively prevent others from commercializing competitive product candidates.</w:t>
      </w:r>
    </w:p>
    <w:p>
      <w:pPr>
        <w:spacing w:after="0" w:line="17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license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CNTY-101 and our other product candidates will be protectable or remain protected by valid and enforceable patents. Our competitors or other third parties may be able to circumvent our patents by developing similar or alternative technologies or products in a non-infringing, misappropriating, or violating manner which could materially adversely affect our business, financial condition, results of operations and prospects.</w:t>
      </w:r>
    </w:p>
    <w:p>
      <w:pPr>
        <w:spacing w:after="0" w:line="16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not cover CNTY-101 and our other product candidates or may be challenged in the courts or patent offices in the United States and abroad. We may be subject to a third-party pre-issuance submission of prior art to the USPTO, or become involved in opposition, derivation, revocation, reexamination, post-grant review, or PGR, and inter parties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patents and patent applications or those of our licensors has been found. There is also no assurance that there is not prior art of which we, our predecessors or licensors are aware, but which we do not believe affects the validity or enforceability of a claim in our patents and patent applications or those of our licensors,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CNTY-101 and our other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or our licensors’ ability to stop others from using or commercializing similar or identical technology and products, or limit the duration of the patent protection of CNTY-101 and our other product candidates. Such proceedings also may result in substantial costs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91" w:lineRule="exact"/>
        <w:rPr>
          <w:sz w:val="20"/>
          <w:szCs w:val="20"/>
          <w:color w:val="auto"/>
        </w:rPr>
      </w:pPr>
    </w:p>
    <w:p>
      <w:pPr>
        <w:ind w:left="60" w:right="119"/>
        <w:spacing w:after="0" w:line="278" w:lineRule="auto"/>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3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or our licensors or collaborators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our collaborators or our licensors, whether current or future, fail to establish, maintain, or protect such patents and other intellectual property rights, such rights may be reduced or eliminated. If our licensors or collaborators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CNTY-101 and our other product candidates, our ability to develop and commercialize those product candidates may be adversely affected and we may not be able to prevent competitors from making, using, and selling competing products.</w:t>
      </w:r>
    </w:p>
    <w:p>
      <w:pPr>
        <w:spacing w:after="0" w:line="184"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7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85"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In addition, the research resulting in certain of our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United States government also has the right to take title to these inventions if the applicable licensor fails to disclose the invention to the government or fails to file an application to register the intellectual property within specified time limits.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88"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CNTY-101 and our other product candidates.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019"/>
        <w:spacing w:after="0" w:line="278"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39" w:lineRule="exact"/>
        <w:rPr>
          <w:sz w:val="20"/>
          <w:szCs w:val="20"/>
          <w:color w:val="auto"/>
        </w:rPr>
      </w:pPr>
    </w:p>
    <w:p>
      <w:pPr>
        <w:jc w:val="both"/>
        <w:ind w:left="60" w:right="539"/>
        <w:spacing w:after="0" w:line="25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9" w:lineRule="exact"/>
        <w:rPr>
          <w:sz w:val="20"/>
          <w:szCs w:val="20"/>
          <w:color w:val="auto"/>
        </w:rPr>
      </w:pPr>
    </w:p>
    <w:p>
      <w:pPr>
        <w:ind w:left="60" w:right="439" w:firstLine="638"/>
        <w:spacing w:after="0" w:line="271" w:lineRule="auto"/>
        <w:tabs>
          <w:tab w:leader="none" w:pos="13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CNTY-101 and our other product candidates but that are not covered by the claims of the patents that we own or license;</w:t>
      </w:r>
    </w:p>
    <w:p>
      <w:pPr>
        <w:spacing w:after="0" w:line="153" w:lineRule="exact"/>
        <w:rPr>
          <w:rFonts w:ascii="Arial" w:cs="Arial" w:eastAsia="Arial" w:hAnsi="Arial"/>
          <w:sz w:val="18"/>
          <w:szCs w:val="18"/>
          <w:color w:val="auto"/>
        </w:rPr>
      </w:pPr>
    </w:p>
    <w:p>
      <w:pPr>
        <w:ind w:left="60" w:right="659" w:firstLine="638"/>
        <w:spacing w:after="0" w:line="271" w:lineRule="auto"/>
        <w:tabs>
          <w:tab w:leader="none" w:pos="13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or predecessors might not have been the first to make the inventions covered by the issued patents or patent application that we own or license;</w:t>
      </w:r>
    </w:p>
    <w:p>
      <w:pPr>
        <w:spacing w:after="0" w:line="153" w:lineRule="exact"/>
        <w:rPr>
          <w:rFonts w:ascii="Arial" w:cs="Arial" w:eastAsia="Arial" w:hAnsi="Arial"/>
          <w:sz w:val="18"/>
          <w:szCs w:val="18"/>
          <w:color w:val="auto"/>
        </w:rPr>
      </w:pPr>
    </w:p>
    <w:p>
      <w:pPr>
        <w:ind w:left="60" w:right="479" w:firstLine="638"/>
        <w:spacing w:after="0" w:line="271" w:lineRule="auto"/>
        <w:tabs>
          <w:tab w:leader="none" w:pos="13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or predecessors might not have been the first to file patent applications covering certain of our inventions;</w:t>
      </w:r>
    </w:p>
    <w:p>
      <w:pPr>
        <w:spacing w:after="0" w:line="153" w:lineRule="exact"/>
        <w:rPr>
          <w:rFonts w:ascii="Arial" w:cs="Arial" w:eastAsia="Arial" w:hAnsi="Arial"/>
          <w:sz w:val="18"/>
          <w:szCs w:val="18"/>
          <w:color w:val="auto"/>
        </w:rPr>
      </w:pPr>
    </w:p>
    <w:p>
      <w:pPr>
        <w:ind w:left="60" w:right="379" w:firstLine="638"/>
        <w:spacing w:after="0" w:line="271" w:lineRule="auto"/>
        <w:tabs>
          <w:tab w:leader="none" w:pos="13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11" w:lineRule="exact"/>
        <w:rPr>
          <w:rFonts w:ascii="Arial" w:cs="Arial" w:eastAsia="Arial" w:hAnsi="Arial"/>
          <w:sz w:val="18"/>
          <w:szCs w:val="18"/>
          <w:color w:val="auto"/>
        </w:rPr>
      </w:pPr>
    </w:p>
    <w:p>
      <w:pPr>
        <w:ind w:left="60" w:right="139" w:firstLine="638"/>
        <w:spacing w:after="0" w:line="271" w:lineRule="auto"/>
        <w:tabs>
          <w:tab w:leader="none" w:pos="13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53" w:lineRule="exact"/>
        <w:rPr>
          <w:rFonts w:ascii="Arial" w:cs="Arial" w:eastAsia="Arial" w:hAnsi="Arial"/>
          <w:sz w:val="18"/>
          <w:szCs w:val="18"/>
          <w:color w:val="auto"/>
        </w:rPr>
      </w:pPr>
    </w:p>
    <w:p>
      <w:pPr>
        <w:ind w:left="60" w:right="99" w:firstLine="638"/>
        <w:spacing w:after="0" w:line="253" w:lineRule="auto"/>
        <w:tabs>
          <w:tab w:leader="none" w:pos="13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8" w:lineRule="exact"/>
        <w:rPr>
          <w:rFonts w:ascii="Arial" w:cs="Arial" w:eastAsia="Arial" w:hAnsi="Arial"/>
          <w:sz w:val="18"/>
          <w:szCs w:val="18"/>
          <w:color w:val="auto"/>
        </w:rPr>
      </w:pPr>
    </w:p>
    <w:p>
      <w:pPr>
        <w:ind w:left="1340" w:hanging="642"/>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14" w:lineRule="exact"/>
        <w:rPr>
          <w:sz w:val="20"/>
          <w:szCs w:val="20"/>
          <w:color w:val="auto"/>
        </w:rPr>
      </w:pPr>
    </w:p>
    <w:p>
      <w:pPr>
        <w:ind w:left="60" w:right="519"/>
        <w:spacing w:after="0" w:line="245"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violate their intellectual property or proprietary rights may result in liability for damages or prevent or delay our development and commercialization efforts.</w:t>
      </w:r>
    </w:p>
    <w:p>
      <w:pPr>
        <w:spacing w:after="0" w:line="17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 of the patents, intellectual property, or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other intellectual property or proprietary rights that could limit our ability to make, use, sell, offer for sale, or import CNTY-101 or our other product candidates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United States and foreign issued patents and pending patent applications exist in the fields in which we are developing product candidates, including patents and patent applications held by our competitors. There may be third-party patents or patent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applications with claims to materials, formulations, methods of manufacture, or methods for treatment related to the use or manufacture of CNTY-101 and our other product candidates.</w:t>
      </w:r>
    </w:p>
    <w:p>
      <w:pPr>
        <w:spacing w:after="0" w:line="15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the biopharmaceutical industry expands and more patents are issued, the risk increases that CNTY-101 and our other product candidates may be subject to claims of infringement, misappropriation, or other violation of the patent rights of third parties. Because patent applications are maintained as confidential for a certain period of time, until the relevant application is published we may be unaware of third-party patents that may be infringed by commercialization of CNTY-101 and our other product candidates, and we cannot be certain that we were the first to file a patent application related to CNTY-101 and our other product candidates. Moreover, because patent applications can take many years to issue, there may be currently-pending patent applications that may later result in issued patents that CNTY-101 and our other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misappropriates, or otherwise violates these patents. Any claims asserted by third parties would be time-consuming and could:</w:t>
      </w:r>
    </w:p>
    <w:p>
      <w:pPr>
        <w:spacing w:after="0" w:line="180" w:lineRule="exact"/>
        <w:rPr>
          <w:sz w:val="20"/>
          <w:szCs w:val="20"/>
          <w:color w:val="auto"/>
        </w:rPr>
      </w:pPr>
    </w:p>
    <w:p>
      <w:pPr>
        <w:ind w:left="1340" w:hanging="642"/>
        <w:spacing w:after="0"/>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211" w:lineRule="exact"/>
        <w:rPr>
          <w:rFonts w:ascii="Arial" w:cs="Arial" w:eastAsia="Arial" w:hAnsi="Arial"/>
          <w:sz w:val="18"/>
          <w:szCs w:val="18"/>
          <w:color w:val="auto"/>
        </w:rPr>
      </w:pPr>
    </w:p>
    <w:p>
      <w:pPr>
        <w:ind w:left="60" w:right="79" w:firstLine="638"/>
        <w:spacing w:after="0" w:line="271" w:lineRule="auto"/>
        <w:tabs>
          <w:tab w:leader="none" w:pos="13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prevent us from commercializing CNTY-101 and our other product candidates until the asserted patent expires or is held finally invalid or not infringed in a court of law;</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basis;</w:t>
      </w:r>
    </w:p>
    <w:p>
      <w:pPr>
        <w:spacing w:after="0" w:line="193" w:lineRule="exact"/>
        <w:rPr>
          <w:rFonts w:ascii="Arial" w:cs="Arial" w:eastAsia="Arial" w:hAnsi="Arial"/>
          <w:sz w:val="18"/>
          <w:szCs w:val="18"/>
          <w:color w:val="auto"/>
        </w:rPr>
      </w:pPr>
    </w:p>
    <w:p>
      <w:pPr>
        <w:ind w:left="1340" w:hanging="642"/>
        <w:spacing w:after="0"/>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211" w:lineRule="exact"/>
        <w:rPr>
          <w:rFonts w:ascii="Arial" w:cs="Arial" w:eastAsia="Arial" w:hAnsi="Arial"/>
          <w:sz w:val="18"/>
          <w:szCs w:val="18"/>
          <w:color w:val="auto"/>
        </w:rPr>
      </w:pPr>
    </w:p>
    <w:p>
      <w:pPr>
        <w:ind w:left="60" w:right="119" w:firstLine="638"/>
        <w:spacing w:after="0" w:line="253" w:lineRule="auto"/>
        <w:tabs>
          <w:tab w:leader="none" w:pos="13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6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Third parties may hold intellectual property or proprietary rights that could prevent CNTY-101 and our other product candidates from being marketed. Any patent-related legal action against us claiming damages and seeking to enjoin activities relating to CNTY-101 and our other product candidates or processes could subject us to potential liability for damages, including treble damages if we were determined to willfully infringe, and require us to obtain a license to manufacture or develop CNTY-101 and our other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CNTY-101 and our other product candidates or processes to avoid infringement, if necessary. Accordingly, an adverse determination in a judicial or administrative proceeding, or the failure to obtain necessary licenses, could prevent us from developing and commercializing CNTY-101 and our other product candidates, which could harm our business, financial condition, and operating results.</w:t>
      </w:r>
    </w:p>
    <w:p>
      <w:pPr>
        <w:spacing w:after="0" w:line="188"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w:t>
      </w:r>
    </w:p>
    <w:p>
      <w:pPr>
        <w:sectPr>
          <w:pgSz w:w="11900" w:h="16838" w:orient="portrait"/>
          <w:cols w:equalWidth="0" w:num="1">
            <w:col w:w="9019"/>
          </w:cols>
          <w:pgMar w:left="1440" w:top="513" w:right="1440"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74"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81"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15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field of gene-editing, especially in the area of CRISPR technology, is still in its infancy, and no such products have reached the market. Further, the ownership of intellectual property rights relating to CRISPR technology is not fully established. Accordingly, we may not be able to secure all the necessary rights to practice the technology.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intellectual property and proprietary rights in the future. 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biopharmaceutical and pharmaceutical industries are characterized by extensive litigation regarding patents and other intellectual property rights relating to CRISPR. For example, certain patents are currently subject to Interference Proceedings before the USPTO and Opposition Proceedings before the European Patent Office, or EPO. It is uncertain when and how the USPTO, as well as the EPO, will decide in the various proceedings, and the decisions of the respective patent offices may significantly affect the scope or may deny the validity of the respective patents involved in these proceedings. We may in the future become party to, or threatened with, adversarial proceedings or litigation regarding intellectual property rights with respect to CRISPR technology and any product candidates we may develop. Third parties may assert infringement claims against us based on existing patents or patents that may be granted in the future, regardless of their merit. If we are unable to prove that these patents are invalid or unenforceable or not infringed and we are not able to obtain or maintain a license on commercially reasonable terms, or at all, such third parties could potentially assert infringement claims against us, which could have a material adverse effect on the conduct of our business. If we are found to infringe, misappropriate, or violate such third-party patents, we and our partners may be required to pay damages, cease commercialization of the infringing technology, including our use of gene-editing technology, or obtain a license from such third parties, which may not be available on commercially reasonable terms or at all.</w:t>
      </w:r>
    </w:p>
    <w:p>
      <w:pPr>
        <w:spacing w:after="0" w:line="190"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We may be involved in lawsuits to protect or enforce our patents or the patents of our licensors, which could be expensive, time-consuming, and unsuccessful. Further, our issued patents could be found invalid or unenforceable if challenged in court.</w:t>
      </w:r>
    </w:p>
    <w:p>
      <w:pPr>
        <w:spacing w:after="0" w:line="16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Competitors may infringe, misappropriate, or violate our intellectual property rights or those of our licensors. To prevent infringement, misappropriation, violation, or unauthorized use, we and/or our licensors may be required to file claims, which can be expensive and time-consuming. In addition, in a patent infringement proceeding, a court may decide that a patent we own or license is not valid, is unenforceable and/or is not infringed. If we or any of our licensors or potential future collaborators were to initiate legal proceedings against a third party to enforce a patent directed at CNTY-101 and our other product candidates, the defendant could counterclaim that our patent is invalid and/or unenforceable in whole or in part. In patent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litigation, defendant counterclaims alleging invalidity and/or unenforceability are commonplace. Grounds for a validity challenge include an alleged failure to meet any of several statutory requirements, including lack of novelty, obviousness, written description, or non-enablement. Grounds for an unenforceability assertion could include an allegation that someone connected with prosecution of the patent withheld relevant information from the USPTO or made a misleading statement during prosecution.</w:t>
      </w:r>
    </w:p>
    <w:p>
      <w:pPr>
        <w:spacing w:after="0" w:line="176"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licensors is threatened, it could dissuade companies from collaborating with us to license, develop, or commercialize current or future product candidates. Such a loss of patent protection would have a material adverse impact on our business.</w:t>
      </w:r>
    </w:p>
    <w:p>
      <w:pPr>
        <w:spacing w:after="0" w:line="17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addition, we may in the future choose to challenge the patentability of claims in a third-party’s patent by requesting that the USPTO review the patent claims in re-examination, post-grant review, inter parties review, interference proceedings, derivation proceedings, and equivalent proceedings in foreign jurisdictions (e.g., opposition proceedings). We have challenged and may in the future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we may be exposed to litigation by the third party alleging that the relevant patent may be infringed by our product candidates.</w:t>
      </w:r>
    </w:p>
    <w:p>
      <w:pPr>
        <w:spacing w:after="0" w:line="18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compromise our ability to compete in the marketplace.</w:t>
      </w:r>
    </w:p>
    <w:p>
      <w:pPr>
        <w:spacing w:after="0" w:line="183"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79"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54" w:lineRule="exact"/>
        <w:rPr>
          <w:sz w:val="20"/>
          <w:szCs w:val="20"/>
          <w:color w:val="auto"/>
        </w:rPr>
      </w:pPr>
    </w:p>
    <w:p>
      <w:pPr>
        <w:ind w:left="60" w:right="259"/>
        <w:spacing w:after="0" w:line="278" w:lineRule="auto"/>
        <w:rPr>
          <w:sz w:val="20"/>
          <w:szCs w:val="20"/>
          <w:color w:val="auto"/>
        </w:rPr>
      </w:pPr>
      <w:r>
        <w:rPr>
          <w:rFonts w:ascii="Arial" w:cs="Arial" w:eastAsia="Arial" w:hAnsi="Arial"/>
          <w:sz w:val="18"/>
          <w:szCs w:val="18"/>
          <w:b w:val="1"/>
          <w:bCs w:val="1"/>
          <w:i w:val="1"/>
          <w:iCs w:val="1"/>
          <w:color w:val="auto"/>
        </w:rPr>
        <w:t>Changes in United States patent law, or laws in other countries, could diminish the value of patents in general, thereby impairing our ability to protect CNTY-101 and our other product candidates.</w:t>
      </w:r>
    </w:p>
    <w:p>
      <w:pPr>
        <w:spacing w:after="0" w:line="13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may be allowed or enforced in our patents or in third-party patents. In addition, Congress or other foreign legislative bodies may pass patent reform legislation that is unfavorable to us.</w:t>
      </w:r>
    </w:p>
    <w:p>
      <w:pPr>
        <w:spacing w:after="0" w:line="154" w:lineRule="exact"/>
        <w:rPr>
          <w:sz w:val="20"/>
          <w:szCs w:val="20"/>
          <w:color w:val="auto"/>
        </w:rPr>
      </w:pPr>
    </w:p>
    <w:p>
      <w:pPr>
        <w:ind w:left="60" w:right="59"/>
        <w:spacing w:after="0" w:line="257" w:lineRule="auto"/>
        <w:rPr>
          <w:sz w:val="20"/>
          <w:szCs w:val="20"/>
          <w:color w:val="auto"/>
        </w:rPr>
      </w:pPr>
      <w:r>
        <w:rPr>
          <w:rFonts w:ascii="Arial" w:cs="Arial" w:eastAsia="Arial" w:hAnsi="Arial"/>
          <w:sz w:val="17"/>
          <w:szCs w:val="17"/>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United States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170" w:lineRule="exact"/>
        <w:rPr>
          <w:sz w:val="20"/>
          <w:szCs w:val="20"/>
          <w:color w:val="auto"/>
        </w:rPr>
      </w:pPr>
    </w:p>
    <w:p>
      <w:pPr>
        <w:ind w:left="60" w:right="719"/>
        <w:spacing w:after="0" w:line="278"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3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or our licensors fail in defending any such claims, in addition to paying monetary damages, we may lose valuable intellectual property rights, such as exclusive ownership of, or the exclusive right to use, our owned or in-licensed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or of a diminished scope.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 interference proceeding or other similar priority or inventorship disputes, it could result in substantial costs and be a distraction to management and other employees. Such an outcome could have a material adverse effect on our business. Even if we are successful in defending against such claims, litigation could result in substantial costs and distraction to management and other employees.</w:t>
      </w:r>
    </w:p>
    <w:p>
      <w:pPr>
        <w:spacing w:after="0" w:line="18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99"/>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CNTY-101 and our other product candidates for an adequate amount of time.</w:t>
      </w:r>
    </w:p>
    <w:p>
      <w:pPr>
        <w:spacing w:after="0" w:line="139"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CNTY-101 and our other product candidates are obtained, once the patent life has expired, we may be open to competition from competitive products. Given the amount of time required for the development, testing, and regulatory review of product candidates, patents protecting CNTY-101 and our other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70" w:lineRule="exact"/>
        <w:rPr>
          <w:sz w:val="20"/>
          <w:szCs w:val="20"/>
          <w:color w:val="auto"/>
        </w:rPr>
      </w:pPr>
    </w:p>
    <w:p>
      <w:pPr>
        <w:ind w:left="60" w:right="139"/>
        <w:spacing w:after="0" w:line="278" w:lineRule="auto"/>
        <w:rPr>
          <w:sz w:val="20"/>
          <w:szCs w:val="20"/>
          <w:color w:val="auto"/>
        </w:rPr>
      </w:pPr>
      <w:r>
        <w:rPr>
          <w:rFonts w:ascii="Arial" w:cs="Arial" w:eastAsia="Arial" w:hAnsi="Arial"/>
          <w:sz w:val="18"/>
          <w:szCs w:val="18"/>
          <w:b w:val="1"/>
          <w:bCs w:val="1"/>
          <w:i w:val="1"/>
          <w:iCs w:val="1"/>
          <w:color w:val="auto"/>
        </w:rPr>
        <w:t>If we do not obtain patent term extension for CNTY-101 and our other product candidates, our business may be materially harmed.</w:t>
      </w:r>
    </w:p>
    <w:p>
      <w:pPr>
        <w:spacing w:after="0" w:line="13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Depending upon the timing, duration, and specifics of FDA marketing approval of CNTY-101 and our other product candidates, one or more of our United States patents may be eligible for limited patent term restoration under the Drug Price Competition and Patent Term Restoration Action of 1984, or Hatch-Waxman Act. The Hatch-Waxman Act permits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only one patent may be extended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prior to expiration of relevant patents or otherwise failing to exercise due diligence during the testing phase or regulatory review process, failing to apply within applicable deadlines or failing to satisfy applicable requirements. Moreover, the applicable time period or the scope of patent protection afforded could be less than we request. In addition, we may be reliant on third-party licensors and collaborators in applying for such patent term extensions and we may not be able to obtain their cooperation.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1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Although we have licenses to issued patents and pending patent applications in the United States and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marketing of competing products in violation of our intellectual property and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1" w:lineRule="exact"/>
        <w:rPr>
          <w:sz w:val="20"/>
          <w:szCs w:val="20"/>
          <w:color w:val="auto"/>
        </w:rPr>
      </w:pPr>
    </w:p>
    <w:p>
      <w:pPr>
        <w:ind w:left="60" w:right="319"/>
        <w:spacing w:after="0" w:line="24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6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any patents we ultimately obtain and/or applications we file.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In some cases, we are also dependent on our licensors to take the necessary action to comply with these requirements with respect to our licensed intellectual property.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have a material adverse effect on our business.</w:t>
      </w:r>
    </w:p>
    <w:p>
      <w:pPr>
        <w:spacing w:after="0" w:line="182" w:lineRule="exact"/>
        <w:rPr>
          <w:sz w:val="20"/>
          <w:szCs w:val="20"/>
          <w:color w:val="auto"/>
        </w:rPr>
      </w:pPr>
    </w:p>
    <w:p>
      <w:pPr>
        <w:ind w:left="60" w:right="739"/>
        <w:spacing w:after="0" w:line="27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Trade secrets and know-how can be difficult to protect.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54" w:lineRule="auto"/>
        <w:rPr>
          <w:sz w:val="20"/>
          <w:szCs w:val="20"/>
          <w:color w:val="auto"/>
        </w:rPr>
      </w:pPr>
      <w:r>
        <w:rPr>
          <w:rFonts w:ascii="Arial" w:cs="Arial" w:eastAsia="Arial" w:hAnsi="Arial"/>
          <w:sz w:val="17"/>
          <w:szCs w:val="17"/>
          <w:color w:val="auto"/>
        </w:rPr>
        <w:t>Because we currently rely on other third parties to manufacture our product candidates and to perform quality testing, we must, at times, share our proprietary technology and confidential information, including trade secrets, with them. We seek to protect our proprietary technology and other trade secrets, in part, by entering into confidentiality agreements, consulting agreements, or other similar agreements with our advisors, employees, consultants, and other third parties prior to beginning research or disclosing proprietary information and other trade secrets. These agreements typically limit the rights of the third parties to use or disclose our confidential information, proprietary information, and other trade secrets.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w:t>
      </w:r>
    </w:p>
    <w:p>
      <w:pPr>
        <w:spacing w:after="0" w:line="17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87"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5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CNTY-101 and our other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14" w:lineRule="exact"/>
        <w:rPr>
          <w:sz w:val="20"/>
          <w:szCs w:val="20"/>
          <w:color w:val="auto"/>
        </w:rPr>
      </w:pPr>
    </w:p>
    <w:p>
      <w:pPr>
        <w:ind w:left="60" w:right="339"/>
        <w:spacing w:after="0" w:line="278"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highly volatile, and purchasers of our common stock could incur substantial losses.</w:t>
      </w:r>
    </w:p>
    <w:p>
      <w:pPr>
        <w:spacing w:after="0" w:line="13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Our stock price has been volatile since our initial public offering. The stock market in general and the market for stock of biopharmaceutical companies in particular have experienced extreme volatility that has often been unrelated to the operating performance of particular companies. The market price for our common stock may be influenced by those factors discussed in this “Risk factors” section and many others, including:</w:t>
      </w:r>
    </w:p>
    <w:p>
      <w:pPr>
        <w:spacing w:after="0" w:line="174" w:lineRule="exact"/>
        <w:rPr>
          <w:sz w:val="20"/>
          <w:szCs w:val="20"/>
          <w:color w:val="auto"/>
        </w:rPr>
      </w:pPr>
    </w:p>
    <w:p>
      <w:pPr>
        <w:ind w:left="60" w:right="519" w:firstLine="638"/>
        <w:spacing w:after="0" w:line="301" w:lineRule="auto"/>
        <w:tabs>
          <w:tab w:leader="none" w:pos="1356"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commencement, enrollment, or results of our current and future preclinical studies and clinical trials, and the results of trials of our competitors or those of other companies in our market sector;</w:t>
      </w:r>
    </w:p>
    <w:p>
      <w:pPr>
        <w:spacing w:after="0" w:line="130" w:lineRule="exact"/>
        <w:rPr>
          <w:rFonts w:ascii="Arial" w:cs="Arial" w:eastAsia="Arial" w:hAnsi="Arial"/>
          <w:sz w:val="17"/>
          <w:szCs w:val="17"/>
          <w:color w:val="auto"/>
        </w:rPr>
      </w:pPr>
    </w:p>
    <w:p>
      <w:pPr>
        <w:ind w:left="60" w:right="559" w:firstLine="638"/>
        <w:spacing w:after="0" w:line="271" w:lineRule="auto"/>
        <w:tabs>
          <w:tab w:leader="none" w:pos="1356"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approval of our product candidates, or limitations to specific label indications or patient populations for its use, or changes or delays in the regulatory review process;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firstLine="638"/>
        <w:spacing w:after="0" w:line="271" w:lineRule="auto"/>
        <w:tabs>
          <w:tab w:leader="none" w:pos="13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especially in light of current reforms to the United States healthcare system;</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 or failure of our efforts to acquire, license, or develop additional product</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candidates;</w:t>
      </w:r>
    </w:p>
    <w:p>
      <w:pPr>
        <w:spacing w:after="0" w:line="193"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innovations or new products developed by us or our competitors;</w:t>
      </w:r>
    </w:p>
    <w:p>
      <w:pPr>
        <w:spacing w:after="0" w:line="211" w:lineRule="exact"/>
        <w:rPr>
          <w:rFonts w:ascii="Arial" w:cs="Arial" w:eastAsia="Arial" w:hAnsi="Arial"/>
          <w:sz w:val="18"/>
          <w:szCs w:val="18"/>
          <w:color w:val="auto"/>
        </w:rPr>
      </w:pPr>
    </w:p>
    <w:p>
      <w:pPr>
        <w:ind w:left="60" w:right="119" w:firstLine="638"/>
        <w:spacing w:after="0" w:line="271" w:lineRule="auto"/>
        <w:tabs>
          <w:tab w:leader="none" w:pos="13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211" w:lineRule="exact"/>
        <w:rPr>
          <w:rFonts w:ascii="Arial" w:cs="Arial" w:eastAsia="Arial" w:hAnsi="Arial"/>
          <w:sz w:val="18"/>
          <w:szCs w:val="18"/>
          <w:color w:val="auto"/>
        </w:rPr>
      </w:pPr>
    </w:p>
    <w:p>
      <w:pPr>
        <w:ind w:left="60" w:right="559" w:firstLine="638"/>
        <w:spacing w:after="0" w:line="271" w:lineRule="auto"/>
        <w:tabs>
          <w:tab w:leader="none" w:pos="13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changes to our relationship with FCDI, any manufacturers, suppliers, licensors, future collaborators, or other strategic partners;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11" w:lineRule="exact"/>
        <w:rPr>
          <w:rFonts w:ascii="Arial" w:cs="Arial" w:eastAsia="Arial" w:hAnsi="Arial"/>
          <w:sz w:val="18"/>
          <w:szCs w:val="18"/>
          <w:color w:val="auto"/>
        </w:rPr>
      </w:pPr>
    </w:p>
    <w:p>
      <w:pPr>
        <w:ind w:left="60" w:right="239" w:firstLine="638"/>
        <w:spacing w:after="0" w:line="271" w:lineRule="auto"/>
        <w:tabs>
          <w:tab w:leader="none" w:pos="13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our stock by insiders and stockholders;</w:t>
      </w:r>
    </w:p>
    <w:p>
      <w:pPr>
        <w:spacing w:after="0" w:line="211" w:lineRule="exact"/>
        <w:rPr>
          <w:rFonts w:ascii="Arial" w:cs="Arial" w:eastAsia="Arial" w:hAnsi="Arial"/>
          <w:sz w:val="18"/>
          <w:szCs w:val="18"/>
          <w:color w:val="auto"/>
        </w:rPr>
      </w:pPr>
    </w:p>
    <w:p>
      <w:pPr>
        <w:ind w:left="60" w:right="319" w:firstLine="638"/>
        <w:spacing w:after="0" w:line="271" w:lineRule="auto"/>
        <w:tabs>
          <w:tab w:leader="none" w:pos="13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industry, and market conditions, or other events or factors, many of which are beyond our control;</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w:t>
      </w:r>
    </w:p>
    <w:p>
      <w:pPr>
        <w:spacing w:after="0" w:line="212"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76" w:lineRule="exact"/>
        <w:rPr>
          <w:sz w:val="20"/>
          <w:szCs w:val="20"/>
          <w:color w:val="auto"/>
        </w:rPr>
      </w:pPr>
    </w:p>
    <w:p>
      <w:pPr>
        <w:ind w:left="60" w:right="339"/>
        <w:spacing w:after="0" w:line="256"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59"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79"/>
        <w:spacing w:after="0" w:line="27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139"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Sales of a substantial number of shares of our common stock by our existing stockholders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74"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Our executive officers, directors, principal stockholders, and affiliates have the ability to exercise significant control over our company, which will limit your ability to influence corporate matters and could delay or prevent a change in corporate control.</w:t>
      </w:r>
    </w:p>
    <w:p>
      <w:pPr>
        <w:spacing w:after="0" w:line="169"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As of December 31, 2022, the existing holdings of our executive officers, directors and affiliates, represented beneficial ownership, in the aggregate, of approximately 24% of our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your interests</w:t>
      </w:r>
    </w:p>
    <w:p>
      <w:pPr>
        <w:spacing w:after="0" w:line="179" w:lineRule="exact"/>
        <w:rPr>
          <w:sz w:val="20"/>
          <w:szCs w:val="20"/>
          <w:color w:val="auto"/>
        </w:rPr>
      </w:pPr>
    </w:p>
    <w:p>
      <w:pPr>
        <w:jc w:val="both"/>
        <w:ind w:left="60" w:right="339"/>
        <w:spacing w:after="0" w:line="253" w:lineRule="auto"/>
        <w:rPr>
          <w:sz w:val="20"/>
          <w:szCs w:val="20"/>
          <w:color w:val="auto"/>
        </w:rPr>
      </w:pPr>
      <w:r>
        <w:rPr>
          <w:rFonts w:ascii="Arial" w:cs="Arial" w:eastAsia="Arial" w:hAnsi="Arial"/>
          <w:sz w:val="18"/>
          <w:szCs w:val="18"/>
          <w:color w:val="auto"/>
        </w:rPr>
        <w:t>and the concentration of voting power among these stockholders may have an adverse effect on the price of our common stock. In addition, this concentration of ownership might adversely affect the market price of our common stock by:</w:t>
      </w:r>
    </w:p>
    <w:p>
      <w:pPr>
        <w:spacing w:after="0" w:line="169" w:lineRule="exact"/>
        <w:rPr>
          <w:sz w:val="20"/>
          <w:szCs w:val="20"/>
          <w:color w:val="auto"/>
        </w:rPr>
      </w:pPr>
    </w:p>
    <w:p>
      <w:pPr>
        <w:ind w:left="1340" w:hanging="642"/>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control of us.</w:t>
      </w:r>
    </w:p>
    <w:p>
      <w:pPr>
        <w:spacing w:after="0" w:line="196" w:lineRule="exact"/>
        <w:rPr>
          <w:sz w:val="20"/>
          <w:szCs w:val="20"/>
          <w:color w:val="auto"/>
        </w:rPr>
      </w:pPr>
    </w:p>
    <w:p>
      <w:pPr>
        <w:jc w:val="both"/>
        <w:ind w:left="60" w:right="199"/>
        <w:spacing w:after="0" w:line="256"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59"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are an emerging growth company, as defined in the Jumpstart Our Business Startups Act, or JOBS Act, and may remain an emerging growth company until December 31, 2026.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 reduced disclosure and other requirements that we may take advantage of include:</w:t>
      </w:r>
    </w:p>
    <w:p>
      <w:pPr>
        <w:spacing w:after="0" w:line="180" w:lineRule="exact"/>
        <w:rPr>
          <w:sz w:val="20"/>
          <w:szCs w:val="20"/>
          <w:color w:val="auto"/>
        </w:rPr>
      </w:pPr>
    </w:p>
    <w:p>
      <w:pPr>
        <w:ind w:left="60" w:right="899" w:firstLine="638"/>
        <w:spacing w:after="0" w:line="271" w:lineRule="auto"/>
        <w:tabs>
          <w:tab w:leader="none" w:pos="13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presenting reduced disclosure about our executive compensation arrangements;</w:t>
      </w:r>
    </w:p>
    <w:p>
      <w:pPr>
        <w:spacing w:after="0" w:line="211" w:lineRule="exact"/>
        <w:rPr>
          <w:rFonts w:ascii="Arial" w:cs="Arial" w:eastAsia="Arial" w:hAnsi="Arial"/>
          <w:sz w:val="18"/>
          <w:szCs w:val="18"/>
          <w:color w:val="auto"/>
        </w:rPr>
      </w:pPr>
    </w:p>
    <w:p>
      <w:pPr>
        <w:ind w:left="60" w:right="419" w:firstLine="638"/>
        <w:spacing w:after="0" w:line="271" w:lineRule="auto"/>
        <w:tabs>
          <w:tab w:leader="none" w:pos="13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have taken advantage of reduced reporting burdens in this Annual Report on Form 10-K.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8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Reports on Form 10-K and, similar to emerging growth companies, smaller reporting companies have reduced disclosure obligations regarding executive compensation.</w:t>
      </w:r>
    </w:p>
    <w:p>
      <w:pPr>
        <w:spacing w:after="0" w:line="188" w:lineRule="exact"/>
        <w:rPr>
          <w:sz w:val="20"/>
          <w:szCs w:val="20"/>
          <w:color w:val="auto"/>
        </w:rPr>
      </w:pPr>
    </w:p>
    <w:p>
      <w:pPr>
        <w:ind w:left="60" w:right="839"/>
        <w:spacing w:after="0" w:line="27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3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became a public company in June 2021. As a public company, and particularly after we are no longer an emerging growth company or smaller reporting company, we have and will continue to incur significant legal, accounting, and other expenses that we did not incur as a private company. In addition, the Sarbanes-Oxley Act and rules subsequently implemented by the Securities and Exchange Commission, or the SEC, and The Nasdaq Stock Market LLC, or Nasdaq, impose various requirements on public companies, including establishment and maintenance of effective disclosure and financial controls and corporate governance practices. Our management and other personnel devote a substantial amount of time to comply with these requirements. Moreover, these rules and regulations increase our legal and financial compliance costs and make some activities more time-consuming and costly.</w:t>
      </w:r>
    </w:p>
    <w:p>
      <w:pPr>
        <w:spacing w:after="0" w:line="183"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We could be an emerging growth company for up to five years. To achieve compliance with Section 404 of the Sarbanes-Oxley Act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99"/>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3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78" w:lineRule="exact"/>
        <w:rPr>
          <w:sz w:val="20"/>
          <w:szCs w:val="20"/>
          <w:color w:val="auto"/>
        </w:rPr>
      </w:pPr>
    </w:p>
    <w:p>
      <w:pPr>
        <w:ind w:left="60" w:right="399"/>
        <w:spacing w:after="0" w:line="256"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discourage another company from acquiring us and may prevent attempts by our stockholders to replace or remove our current management.</w:t>
      </w:r>
    </w:p>
    <w:p>
      <w:pPr>
        <w:spacing w:after="0" w:line="159"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Provisions in our second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80" w:lineRule="exact"/>
        <w:rPr>
          <w:sz w:val="20"/>
          <w:szCs w:val="20"/>
          <w:color w:val="auto"/>
        </w:rPr>
      </w:pPr>
    </w:p>
    <w:p>
      <w:pPr>
        <w:ind w:left="60" w:right="119" w:firstLine="638"/>
        <w:spacing w:after="0" w:line="253" w:lineRule="auto"/>
        <w:tabs>
          <w:tab w:leader="none" w:pos="1356"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68" w:lineRule="exact"/>
        <w:rPr>
          <w:rFonts w:ascii="Arial" w:cs="Arial" w:eastAsia="Arial" w:hAnsi="Arial"/>
          <w:sz w:val="18"/>
          <w:szCs w:val="18"/>
          <w:color w:val="auto"/>
        </w:rPr>
      </w:pPr>
    </w:p>
    <w:p>
      <w:pPr>
        <w:ind w:left="60" w:right="399" w:firstLine="638"/>
        <w:spacing w:after="0" w:line="253" w:lineRule="auto"/>
        <w:tabs>
          <w:tab w:leader="none" w:pos="1356"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168" w:lineRule="exact"/>
        <w:rPr>
          <w:rFonts w:ascii="Arial" w:cs="Arial" w:eastAsia="Arial" w:hAnsi="Arial"/>
          <w:sz w:val="18"/>
          <w:szCs w:val="18"/>
          <w:color w:val="auto"/>
        </w:rPr>
      </w:pPr>
    </w:p>
    <w:p>
      <w:pPr>
        <w:ind w:left="60" w:right="139" w:firstLine="638"/>
        <w:spacing w:after="0" w:line="271" w:lineRule="auto"/>
        <w:tabs>
          <w:tab w:leader="none" w:pos="1356"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stockholders may not act by written consent, which forces stockholder action to be taken at an annual or special meeting of our stockholders;</w:t>
      </w:r>
    </w:p>
    <w:p>
      <w:pPr>
        <w:spacing w:after="0" w:line="153" w:lineRule="exact"/>
        <w:rPr>
          <w:rFonts w:ascii="Arial" w:cs="Arial" w:eastAsia="Arial" w:hAnsi="Arial"/>
          <w:sz w:val="18"/>
          <w:szCs w:val="18"/>
          <w:color w:val="auto"/>
        </w:rPr>
      </w:pPr>
    </w:p>
    <w:p>
      <w:pPr>
        <w:jc w:val="both"/>
        <w:ind w:left="60" w:right="179" w:firstLine="638"/>
        <w:spacing w:after="0" w:line="253" w:lineRule="auto"/>
        <w:tabs>
          <w:tab w:leader="none" w:pos="1356"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special meeting of stockholders may be called only by the chair of our board of directors, our chief executive officer, or a majority of our board of directors, which may delay the ability of our stockholders to force consideration of a proposal or to take action, including the removal of directors;</w:t>
      </w:r>
    </w:p>
    <w:p>
      <w:pPr>
        <w:spacing w:after="0" w:line="168" w:lineRule="exact"/>
        <w:rPr>
          <w:rFonts w:ascii="Arial" w:cs="Arial" w:eastAsia="Arial" w:hAnsi="Arial"/>
          <w:sz w:val="18"/>
          <w:szCs w:val="18"/>
          <w:color w:val="auto"/>
        </w:rPr>
      </w:pPr>
    </w:p>
    <w:p>
      <w:pPr>
        <w:ind w:left="60" w:right="159" w:firstLine="638"/>
        <w:spacing w:after="0" w:line="271" w:lineRule="auto"/>
        <w:tabs>
          <w:tab w:leader="none" w:pos="1356"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second amended and restated certificate of incorporation prohibits cumulative voting in the election of directors, which limits the ability of minority stockholders to elect director candidates;</w:t>
      </w:r>
    </w:p>
    <w:p>
      <w:pPr>
        <w:spacing w:after="0" w:line="153" w:lineRule="exact"/>
        <w:rPr>
          <w:rFonts w:ascii="Arial" w:cs="Arial" w:eastAsia="Arial" w:hAnsi="Arial"/>
          <w:sz w:val="18"/>
          <w:szCs w:val="18"/>
          <w:color w:val="auto"/>
        </w:rPr>
      </w:pPr>
    </w:p>
    <w:p>
      <w:pPr>
        <w:ind w:left="60" w:right="139" w:firstLine="638"/>
        <w:spacing w:after="0" w:line="271" w:lineRule="auto"/>
        <w:tabs>
          <w:tab w:leader="none" w:pos="1356"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board of directors may alter certain provisions of our amended and restated bylaws without obtaining stockholder approval;</w:t>
      </w:r>
    </w:p>
    <w:p>
      <w:pPr>
        <w:spacing w:after="0" w:line="153" w:lineRule="exact"/>
        <w:rPr>
          <w:rFonts w:ascii="Arial" w:cs="Arial" w:eastAsia="Arial" w:hAnsi="Arial"/>
          <w:sz w:val="18"/>
          <w:szCs w:val="18"/>
          <w:color w:val="auto"/>
        </w:rPr>
      </w:pPr>
    </w:p>
    <w:p>
      <w:pPr>
        <w:ind w:left="60" w:right="79" w:firstLine="638"/>
        <w:spacing w:after="0" w:line="253" w:lineRule="auto"/>
        <w:tabs>
          <w:tab w:leader="none" w:pos="135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approval of the holders of at least two-thirds of the outstanding shares of our capital stock is required to adopt, amend, or repeal our amended and restated bylaws, unless such action is recommended by our board of directors at an annual or special meeting of shareholders;</w:t>
      </w:r>
    </w:p>
    <w:p>
      <w:pPr>
        <w:spacing w:after="0" w:line="168" w:lineRule="exact"/>
        <w:rPr>
          <w:rFonts w:ascii="Arial" w:cs="Arial" w:eastAsia="Arial" w:hAnsi="Arial"/>
          <w:sz w:val="18"/>
          <w:szCs w:val="18"/>
          <w:color w:val="auto"/>
        </w:rPr>
      </w:pPr>
    </w:p>
    <w:p>
      <w:pPr>
        <w:ind w:left="60" w:right="79" w:firstLine="638"/>
        <w:spacing w:after="0" w:line="253" w:lineRule="auto"/>
        <w:tabs>
          <w:tab w:leader="none" w:pos="135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approval of the holders of at least two-thirds of the outstanding shares of our capital stock is required to adopt, amend, or repeal provisions in our second amended and restated certificate of incorporation relating to (i) the amendment of the second amended and restated certificate of incorporation or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amendment of the amended and restated bylaws, (ii) stockholder action, (iii) election and removal of directors,</w:t>
      </w:r>
    </w:p>
    <w:p>
      <w:pPr>
        <w:spacing w:after="0" w:line="14" w:lineRule="exact"/>
        <w:rPr>
          <w:sz w:val="20"/>
          <w:szCs w:val="20"/>
          <w:color w:val="auto"/>
        </w:rPr>
      </w:pPr>
    </w:p>
    <w:p>
      <w:pPr>
        <w:ind w:left="360" w:hanging="310"/>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limitations on liability and (v) exclusive forum for proceedings;</w:t>
      </w:r>
    </w:p>
    <w:p>
      <w:pPr>
        <w:spacing w:after="0" w:line="193" w:lineRule="exact"/>
        <w:rPr>
          <w:rFonts w:ascii="Arial" w:cs="Arial" w:eastAsia="Arial" w:hAnsi="Arial"/>
          <w:sz w:val="18"/>
          <w:szCs w:val="18"/>
          <w:color w:val="auto"/>
        </w:rPr>
      </w:pPr>
    </w:p>
    <w:p>
      <w:pPr>
        <w:ind w:left="60" w:right="59" w:firstLine="638"/>
        <w:spacing w:after="0" w:line="247" w:lineRule="auto"/>
        <w:tabs>
          <w:tab w:leader="none" w:pos="1356" w:val="left"/>
        </w:tabs>
        <w:numPr>
          <w:ilvl w:val="1"/>
          <w:numId w:val="56"/>
        </w:numPr>
        <w:rPr>
          <w:rFonts w:ascii="Arial" w:cs="Arial" w:eastAsia="Arial" w:hAnsi="Arial"/>
          <w:sz w:val="18"/>
          <w:szCs w:val="18"/>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shares; and</w:t>
      </w:r>
    </w:p>
    <w:p>
      <w:pPr>
        <w:spacing w:after="0" w:line="173" w:lineRule="exact"/>
        <w:rPr>
          <w:rFonts w:ascii="Arial" w:cs="Arial" w:eastAsia="Arial" w:hAnsi="Arial"/>
          <w:sz w:val="18"/>
          <w:szCs w:val="18"/>
          <w:color w:val="auto"/>
        </w:rPr>
      </w:pPr>
    </w:p>
    <w:p>
      <w:pPr>
        <w:ind w:left="60" w:right="379" w:firstLine="638"/>
        <w:spacing w:after="0" w:line="253" w:lineRule="auto"/>
        <w:tabs>
          <w:tab w:leader="none" w:pos="1356" w:val="left"/>
        </w:tabs>
        <w:numPr>
          <w:ilvl w:val="1"/>
          <w:numId w:val="56"/>
        </w:numPr>
        <w:rPr>
          <w:rFonts w:ascii="Arial" w:cs="Arial" w:eastAsia="Arial" w:hAnsi="Arial"/>
          <w:sz w:val="18"/>
          <w:szCs w:val="18"/>
          <w:color w:val="auto"/>
        </w:rPr>
      </w:pPr>
      <w:r>
        <w:rPr>
          <w:rFonts w:ascii="Arial" w:cs="Arial" w:eastAsia="Arial" w:hAnsi="Arial"/>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6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8" w:lineRule="exact"/>
        <w:rPr>
          <w:sz w:val="20"/>
          <w:szCs w:val="20"/>
          <w:color w:val="auto"/>
        </w:rPr>
      </w:pPr>
    </w:p>
    <w:p>
      <w:pPr>
        <w:ind w:left="60" w:right="139"/>
        <w:spacing w:after="0" w:line="249"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Our second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Exchange Act of 1934, as amended, or the Exchange Act. Furthermore, our amended and restated certificate of incorporation provides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1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biopharmaceutical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Our principal executive offices are located in Philadelphia, Pennsylvania, pursuant to a short-term lease. We operate in three laboratory spaces in Philadelphia pursuant to leases that expire in December 2030, October 2031 and February 2034. Additionally, we lease office and laboratory space in Seattle, Washington pursuant to leases expiring in September 2030, respectively and laboratory and office space in Hamilton, Ontario, pursuant to a lease that expires in October 2025. We have finished construction and the operational fit out of a 53,000 square foot cell therapy manufacturing facility on a tract of land in Branchburg, New Jersey pursuant to a lease expiring in February 2037. We believe that our current facilities are adequate to meet our ongoing needs, and that, if we require additional space, we will be able to obtain additional facilities on commercially reasonable terms.</w:t>
      </w: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12"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60" w:right="399"/>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is publicly traded on the Nasdaq Global Market under the symbol “IPSC.”</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February 28, 2023, we had approximately 115 record holders of our common stock.</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185"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Our ability to pay cash dividends is currently restricted by the terms of our Loan and Security Agreement with Hercules Capital, Inc., as discussed in Note 9 - “Long term debt” in the notes to our consolidated financial statements.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171"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On June 22, 2021, we completed our IPO. Our registration statement on Form S-1 (File No. 333- 256648) relating to the IPO was declared effective by the SEC on June 17, 2021. We issued an aggregate of 12,132,500 shares of our common stock at a price of $20.00 per share for aggregate net cash proceeds of $221.4 million, after deducting approximately $17.0 million in underwriting discounts and commissions and approximately $4.0 million in other offering costs. None of the expenses associated with the IPO were paid to directors, officers, persons owning 10% or more of any class of equity securities, or to their associates, or to our affiliates.</w:t>
      </w:r>
    </w:p>
    <w:p>
      <w:pPr>
        <w:spacing w:after="0" w:line="138"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sale and issuance of 12,132,500 shares in the IPO closed on June 22, 2021. J.P. Morgan, BofA Securities, SVB Leerink and Piper Sandler acted as joint book-running managers for the IPO.</w:t>
      </w:r>
    </w:p>
    <w:p>
      <w:pPr>
        <w:spacing w:after="0" w:line="113"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As of December 31, 2022, the net proceeds from our IPO have been invested in U.S. treasury bills and corporate bonds. There has been no material change in the planned use of proceeds from the IPO from that described in the prospectus filed with the SEC pursuant to Rule 424(b)(4) under the Securities Act on June 21, 2021.</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5"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Information about our equity compensation plans is incorporated herein by reference to Part III, Item 12 of this Annual Report on Form 10-K.</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ind w:left="60" w:right="259"/>
        <w:spacing w:after="0" w:line="281"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4" w:lineRule="exact"/>
        <w:rPr>
          <w:sz w:val="20"/>
          <w:szCs w:val="20"/>
          <w:color w:val="auto"/>
        </w:rPr>
      </w:pPr>
    </w:p>
    <w:p>
      <w:pPr>
        <w:ind w:left="60" w:right="259"/>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included elsewhere in this Annual Report on Form 10-K and our audited consolidated financial statements and the related notes thereto.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“Cautionary Note Regarding Forward-Looking Statements” and “Risk Factors” in this Annual Report on Form 10-K. You should review the disclosure under the heading “Risk Factors” herein for a discussion of important factors that could cause our actual results to differ materially from those anticipated in these forward-looking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Allo-EvasionTM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fully integrated biotechnology company by developing and ultimately commercializing off-the-shelf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184"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We were formed in 2018 as Century Therapeutics, Inc., or Prior Century. In 2019, in connection with our investment from Bayer Healthcare LLC, or Bayer, Prior Century contributed substantially all of its operating assets and cash to a newly formed entity, Century Therapeutics, LLC, or the LLC Entity. We refer to this transaction as the 2019 Reorganization. The 2019 Reorganization was accounted for as an asset acquisition under US Generally Accepted Accounting Principles, and as a result we recorded a one-time non-cash charge in the amount of $225.9 million which represented the fair value of the contributed in-process research and development, or IPR&amp;D, of Prior Century. The IPR&amp;D asset acquired was Prior Century’s comprehensive allogeneic cell therapy platform.</w:t>
      </w:r>
    </w:p>
    <w:p>
      <w:pPr>
        <w:spacing w:after="0" w:line="18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Until February 2021, our business was operated through the LLC Entity. In February 2021, in connection with the sale of 24,721,999 shares of our Series C preferred stock, or the Series C Financing, the LLC Entity converted from a Delaware limited liability company to a Delaware C corporation. Upon completion of this conversion, Prior Century, whose only significant asset was its equity investment in LLC, merged with the C corporation, and in connection therewith the C corporation changed its name to “Century Therapeutics, Inc.” We refer to these transactions as the 2021 Reorganization.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and in-licensing intellectual property. All of our programs are currently in the development stage, and we do not have any products approved for sale. Since our inception, we have incurred net losses each year. We had an accumulated deficit of $ 519.1 million as of December 31, 2022. Substantially all of our losses have resulted from expenses incurred in connection with our research and development programs, the acquisition of in-process research and development and from general and administrative costs associated with our operations. Included in our accumulated deficit, as noted above, is a non-cash expense of $225.9 million related to the fair value of the in-process research and development of Prior Century.</w:t>
      </w:r>
    </w:p>
    <w:p>
      <w:pPr>
        <w:spacing w:after="0" w:line="180"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In August 2022, the FDA notified us that our ELiPSE-1 clinical trial may proceed to assess CNTY-101 in patients with relapsed or refractory CD19 positive B-cell malignancies. The phase 1 trial, ELiPSE-1, is intended to assess the safety, tolerability, pharmacokinetics and preliminary efficacy of CNTY-101 in patients with relapsed or refractory CD19-positive B-cell malignancies. We have initiated our phase 1 trial and in February 2023, we began dosing patients in ELiPSE-1, evaluating CNTY-101.</w:t>
      </w:r>
    </w:p>
    <w:p>
      <w:pPr>
        <w:spacing w:after="0" w:line="17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June 2021, we completed our initial public offering, or IPO, in which we issued and sold 12,132,500 shares of our common stock, at a public offering price of $20.00 per share. We received net proceeds of $ 221.4 million after deducting underwriting discounts, commissions, and other offering costs of $21.2 million in the aggregate. To date, we have funded our operations from the issuance and sale of our equity securities and the receipt of payments from Bristol-Myers Squibb, in connection with our collaboration as described below, and have not generated any revenues. Since our inception, we have raised approximately $591 million in net proceeds from sales of our equity securities. As of December 31, 2022, we had cash and cash equivalents of $84.3 million and investments of $283.1 million.</w:t>
      </w:r>
    </w:p>
    <w:p>
      <w:pPr>
        <w:spacing w:after="0" w:line="18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231F20"/>
        </w:rPr>
        <w:t>In January 2023, we announced a strategic internal portfolio prioritization through which, among other discovery efforts, CNTY-103, a CAR-iNK product targeting CD133 and a discovery program for hematological malignancies, was de -prioritized, allowing us to further prioritize our CNTY-102 and CNTY-107 product candidates, which we believe have a higher probability of technical success and greater market potential. As a result of the operational restructuring, lab operations in Seattle and Hamilton have been closed and research activities have been consolidated in Philadelphia.</w:t>
      </w:r>
    </w:p>
    <w:p>
      <w:pPr>
        <w:spacing w:after="0" w:line="179"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Based on our current business plans and the January 2023 strategic reprioritization, we believe, our cash, cash equivalents and investments as of December 31, 2022, will be sufficient for us to fund our operating expenses and capital expenditures requirements into 2026.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p>
      <w:pPr>
        <w:spacing w:after="0" w:line="152" w:lineRule="exact"/>
        <w:rPr>
          <w:sz w:val="20"/>
          <w:szCs w:val="20"/>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our iPSC cell therapy platforms;</w:t>
      </w:r>
    </w:p>
    <w:p>
      <w:pPr>
        <w:spacing w:after="0" w:line="183" w:lineRule="exact"/>
        <w:rPr>
          <w:rFonts w:ascii="Times New Roman" w:cs="Times New Roman" w:eastAsia="Times New Roman" w:hAnsi="Times New Roman"/>
          <w:sz w:val="18"/>
          <w:szCs w:val="18"/>
          <w:color w:val="auto"/>
        </w:rPr>
      </w:pPr>
    </w:p>
    <w:p>
      <w:pPr>
        <w:ind w:left="720" w:right="199" w:hanging="319"/>
        <w:spacing w:after="0" w:line="270" w:lineRule="auto"/>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progress clinical development of CNTY-101 and continue preclinical development of our other product candidates;</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additional product candidates;</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and validate our own clinical-scale current good manufacturing practices, or cGMP, facilities;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499" w:hanging="319"/>
        <w:spacing w:after="0" w:line="252" w:lineRule="auto"/>
        <w:tabs>
          <w:tab w:leader="none" w:pos="7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associated with operating as a public company, which will require us to add operational, financial and management information systems and personnel, including personnel to support our drug development and any future commercialization efforts; and</w:t>
      </w:r>
    </w:p>
    <w:p>
      <w:pPr>
        <w:spacing w:after="0" w:line="14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8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are also investing early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7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including our pre-clinical and clinical development of CNTY-101, CNTY-102, and CNTY-107, as well as CNTY-104 and CNTY-106 in collaboration with Bristol-Myers Squibb. Until such time, if ever, as we can generate significant product revenue, we expect to finance our operations with our existing cash and cash equivalents, investments,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8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While the COVID-19 pandemic has stabilized within many global regions, it may cyclically continue to adversely affect our business, financial condition and results of operations. The impact of the COVID-19 pandemic and the efforts to mitigate it, resulted in and will likely continue to result in disruptions to the global economy, as well as businesses and capital markets around the world. We experienced modest delays in our discovery and development activities as a result of the COVID-19 pandemic, primarily due to temporary and partial shutdowns at certain of our CROs and academic institutions that have since resumed operations, and due to governmental responses to the pandemic. We implemented a mandatory vaccination policy for all employees and have taken other precautionary measures, including testing of any employees displaying symptoms of COVID-19. While the vaccines have proven effective in reducing the severity and mortality of COVID-19 including the variants that have evolved to date, the emergence of new variants, which could prove resistant to existing vaccines, could again result in major disruptions to businesses and markets worldwide. The extent to which the outbreak may affect our preclinical studies, clinical trials, business, financial condition, and results of operations will depend on future developments, which are uncertain and cannot be predicted at this time.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21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On September 18, 2018, we entered into a license agreement, or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Prior Century issued 2,980,803 shares of common stock to FCDI, which were exchanged for 2,980,803 shares of common stock in connection with the Reorganization.</w:t>
      </w:r>
    </w:p>
    <w:p>
      <w:pPr>
        <w:spacing w:after="0" w:line="179" w:lineRule="exact"/>
        <w:rPr>
          <w:sz w:val="20"/>
          <w:szCs w:val="20"/>
          <w:color w:val="auto"/>
        </w:rPr>
      </w:pPr>
    </w:p>
    <w:p>
      <w:pPr>
        <w:ind w:left="60" w:right="299"/>
        <w:spacing w:after="0" w:line="301" w:lineRule="auto"/>
        <w:rPr>
          <w:sz w:val="20"/>
          <w:szCs w:val="20"/>
          <w:color w:val="auto"/>
        </w:rPr>
      </w:pPr>
      <w:r>
        <w:rPr>
          <w:rFonts w:ascii="Arial" w:cs="Arial" w:eastAsia="Arial" w:hAnsi="Arial"/>
          <w:sz w:val="17"/>
          <w:szCs w:val="17"/>
          <w:color w:val="auto"/>
        </w:rPr>
        <w:t>Also on September 18, 2018, we entered into the non-exclusive license, or the Reprogramming License, with FCDI. The Reprogramming License, as amended, provides us with a non-exclusive license under certain</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patents and know- 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The potential development and regulatory milestone payments to be paid by us to FCDI are approximately $6 million per licensed product. In connection with the Reprogramming License, we entered into a collaboration agreement, or the FCDI Collaboration Agreement, with FCDI pursuant to which we agreed to fund research and development work at FCDI pursuant to a research plan.</w:t>
      </w:r>
    </w:p>
    <w:p>
      <w:pPr>
        <w:spacing w:after="0" w:line="18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October 21, 2019, we entered into the FCDI Collaboration Agreement with FCDI, whereby FCDI provides certain services to us to develop and manufacture iPSCs and immune cells derived therefrom. Under the terms of the FCDI Collaboration Agreement, as amended, FCDI will provide services in accordance with the approved research plan and related research budget. The initial research plan covers the period from the date of execution of the FCDI Collaboration Agreement through March 31, 2022. On July 29, 2022 we amended the FCDI Collaboration Agreement to extend the term through September 30, 2025.</w:t>
      </w:r>
    </w:p>
    <w:p>
      <w:pPr>
        <w:spacing w:after="0" w:line="17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January 7, 2022, we and FCDI entered into a letter agreement, or the Letter Agreement, which amends each of the FCDI agreements as further discussed in Note 11 to our consolidated financial statements. Pursuant to the Letter Agreement, and in consideration for amending the FCDI Agreements, we agreed to pay to FCDI (i) an upfront payment of $10 million,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8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During the years ended December 31, 2022 and 2021, we made payments of $ 5.1 million and $16.2 million and incurred research and development expenses of $4.9 million and $16.7 million, and legal fees of $0.2 million and $0.1 million, respectively, related to the FCDI agreements, recorded within general and administrative expenses in its consolidated statements of operations and comprehensive loss. As of December 31, 2022 and 2021, there was $0 and $2.4 million in accounts payable related to the FCDI agreements on the consolidated balance sheets.</w:t>
      </w:r>
    </w:p>
    <w:p>
      <w:pPr>
        <w:spacing w:after="0" w:line="179"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From inception of the FCDI Collaboration Agreement through December 31, 2022, we incurred $36.1 million of expenses under the FCDI Collaboration Agreement.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Bristol-Myers Squibb</w:t>
      </w:r>
    </w:p>
    <w:p>
      <w:pPr>
        <w:spacing w:after="0" w:line="21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On January 7, 2022, we entered into the Research, Collaboration and License Agreement, with Bristol-Myers Squibb, or the Collaboration Agreement, to collaborate on the research, development and commercialization of iNK and iT cell programs for hematologic malignancies and solid tumors, or the Collaboration Program, and each product candidate, a Development Candidate. We and Bristol-Myers Squibb will initially collaborate on two Collaboration Programs focused on acute myeloid leukemia, or AML, and multiple myeloma, or MM, and Bristol-Myers Squibb has the option to add up to two additional Collaboration Programs for an additional fee. We are responsible for generating Development Candidates for each Collaboration Program, and Bristol-Myers Squibb has the option to elect to exclusively license the Development Candidates for pre-clinical development, clinical development and commercialization on a worldwide basis, or the License Option. Following Bristol-Myers Squibb’s exercise of the License Option, we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We have the option to co-promote Development Candidates generated from certain specified Collaboration Programs.</w:t>
      </w:r>
    </w:p>
    <w:p>
      <w:pPr>
        <w:spacing w:after="0" w:line="188" w:lineRule="exact"/>
        <w:rPr>
          <w:sz w:val="20"/>
          <w:szCs w:val="20"/>
          <w:color w:val="auto"/>
        </w:rPr>
      </w:pPr>
    </w:p>
    <w:p>
      <w:pPr>
        <w:ind w:left="60" w:right="259"/>
        <w:spacing w:after="0" w:line="275" w:lineRule="auto"/>
        <w:rPr>
          <w:sz w:val="20"/>
          <w:szCs w:val="20"/>
          <w:color w:val="auto"/>
        </w:rPr>
      </w:pPr>
      <w:r>
        <w:rPr>
          <w:rFonts w:ascii="Arial" w:cs="Arial" w:eastAsia="Arial" w:hAnsi="Arial"/>
          <w:sz w:val="17"/>
          <w:szCs w:val="17"/>
          <w:color w:val="auto"/>
        </w:rPr>
        <w:t>Under the terms of the Collaboration Agreement, Bristol-Myers Squibb made a non-refundable, upfront cash payment of $100 million and will pay an exercise fee upon the exercise of the License Option, or the Licensed Program, and product candidates developed under a Licensed Program, the Licensed Products. For each</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Licensed Program, Bristol-Myers Squibb will pay up to $235 million in milestone payments upon the first achievement of certain development and regulatory milestones and will pay up to $ 500 million per Licensed Product in net sales-based milestone payments. Bristol-Myers Squibb will also pay us tiered royalties per Licensed Product as a percentage of net sales in the high-single digits to low-teens, subject to certain adjustments.</w:t>
      </w:r>
    </w:p>
    <w:p>
      <w:pPr>
        <w:spacing w:after="0" w:line="176"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 connection with the Collaboration Agreement, Bristol-Myers Squibb purchased 2,160,760 shares of our common stock at a price per share of $23.14, for an aggregate purchase price of $50 million. We determined the common stock purchase represented a premium of $ 7.82 per share, or $23.2 million in the aggregate, and the remaining $26.8 million was recorded as issuance of common stock in stockholders’ equity.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iCELL and Distributed Bio</w:t>
      </w:r>
    </w:p>
    <w:p>
      <w:pPr>
        <w:spacing w:after="0" w:line="210"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231F20"/>
        </w:rPr>
        <w:t>We also have entered into a sublicense agreement with iCELL Inc. and a master services agreement with Distributed Bio, Inc. See Note 12 to our consolidated financial statements.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10"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revenues to date have been generated through our collaboration, option and license agreement with Bristol-Myers Squibb. We recognize revenue over the expected performance period under this agreement. We expect that our revenue for the next several years will be derived primarily from this agreement and any additional collaborations that we may enter into in the future. To date, we have not received any royalties under any of our existing collaboration agreements.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76"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59" w:lineRule="exact"/>
        <w:rPr>
          <w:sz w:val="20"/>
          <w:szCs w:val="20"/>
          <w:color w:val="auto"/>
        </w:rPr>
      </w:pPr>
    </w:p>
    <w:p>
      <w:pPr>
        <w:ind w:left="60" w:right="199"/>
        <w:spacing w:after="0" w:line="261"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6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including for our first clinical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product candidate CNTY-101,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8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76"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In-process research and development</w:t>
      </w:r>
    </w:p>
    <w:p>
      <w:pPr>
        <w:spacing w:after="0" w:line="210"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As a direct result of the execution of the Collaboration Agreement with Bristol-Myers Squibb, we incurred $10 million in fees to amend the FCDI agreement to gain access to the territory rights of Japan. See Note 11 to our consolidated financial statements.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Interest expense relates to interest incurred on the Loan Agreement we entered into with Hercules Capital, Inc., or Hercules, in 2020, as well as amortization of the related deferred financing cost. See Note 9 to our consolidated financial statements.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net consists of interest earned on our cash, cash equivalents and investment balances.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Until February 25, 2021, we were organized as a limited liability company, which is considered a passthrough entity for federal and state income tax purposes. Subsequent to the conversion of the LLC Entity to a C-Corp on February 25, 2021, we have incurred losses and recorded a full valuation allowance on all of our net deferred tax assets. As of December 31, 2022 and 2021, we recorded $91 thousand and $43 thousand, respectively, in provisions for income taxes related to our subsidiary Century Therapeutics Canada ULC in the accompanying consolidated financial statements.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years ended December 31, 2022 and 2021</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8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color w:val="auto"/>
              </w:rPr>
              <w:t>Year Ended</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Year Ended</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December 31, 2022</w:t>
            </w:r>
          </w:p>
        </w:tc>
        <w:tc>
          <w:tcPr>
            <w:tcW w:w="160" w:type="dxa"/>
            <w:vAlign w:val="bottom"/>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December 31, 2021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23"/>
        </w:trPr>
        <w:tc>
          <w:tcPr>
            <w:tcW w:w="4800" w:type="dxa"/>
            <w:vAlign w:val="bottom"/>
            <w:vMerge w:val="restart"/>
          </w:tcPr>
          <w:p>
            <w:pPr>
              <w:spacing w:after="0"/>
              <w:rPr>
                <w:sz w:val="20"/>
                <w:szCs w:val="20"/>
                <w:color w:val="auto"/>
              </w:rPr>
            </w:pPr>
            <w:r>
              <w:rPr>
                <w:rFonts w:ascii="Arial" w:cs="Arial" w:eastAsia="Arial" w:hAnsi="Arial"/>
                <w:sz w:val="18"/>
                <w:szCs w:val="18"/>
                <w:color w:val="auto"/>
              </w:rPr>
              <w:t>Collaboration revenue</w:t>
            </w:r>
          </w:p>
        </w:tc>
        <w:tc>
          <w:tcPr>
            <w:tcW w:w="48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5,199</w:t>
            </w:r>
          </w:p>
        </w:tc>
        <w:tc>
          <w:tcPr>
            <w:tcW w:w="160" w:type="dxa"/>
            <w:vAlign w:val="bottom"/>
          </w:tcPr>
          <w:p>
            <w:pPr>
              <w:spacing w:after="0"/>
              <w:rPr>
                <w:sz w:val="10"/>
                <w:szCs w:val="10"/>
                <w:color w:val="auto"/>
              </w:rPr>
            </w:pPr>
          </w:p>
        </w:tc>
        <w:tc>
          <w:tcPr>
            <w:tcW w:w="1280" w:type="dxa"/>
            <w:vAlign w:val="bottom"/>
            <w:gridSpan w:val="2"/>
          </w:tcPr>
          <w:p>
            <w:pPr>
              <w:spacing w:after="0" w:line="123" w:lineRule="exact"/>
              <w:rPr>
                <w:sz w:val="20"/>
                <w:szCs w:val="20"/>
                <w:color w:val="auto"/>
              </w:rPr>
            </w:pPr>
            <w:r>
              <w:rPr>
                <w:rFonts w:ascii="Arial" w:cs="Arial" w:eastAsia="Arial" w:hAnsi="Arial"/>
                <w:sz w:val="14"/>
                <w:szCs w:val="14"/>
                <w:color w:val="auto"/>
              </w:rPr>
              <w:t>(in thousands)</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21"/>
        </w:trPr>
        <w:tc>
          <w:tcPr>
            <w:tcW w:w="480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97,173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75,648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21,525</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31,857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19,235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12,622</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Write off of in-process research and development asset</w:t>
            </w:r>
          </w:p>
        </w:tc>
        <w:tc>
          <w:tcPr>
            <w:tcW w:w="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139,030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94,883</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44,147</w:t>
            </w:r>
          </w:p>
        </w:tc>
        <w:tc>
          <w:tcPr>
            <w:tcW w:w="0" w:type="dxa"/>
            <w:vAlign w:val="bottom"/>
          </w:tcPr>
          <w:p>
            <w:pPr>
              <w:spacing w:after="0"/>
              <w:rPr>
                <w:sz w:val="1"/>
                <w:szCs w:val="1"/>
                <w:color w:val="auto"/>
              </w:rPr>
            </w:pPr>
          </w:p>
        </w:tc>
      </w:tr>
      <w:tr>
        <w:trPr>
          <w:trHeight w:val="236"/>
        </w:trPr>
        <w:tc>
          <w:tcPr>
            <w:tcW w:w="48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(133,831)</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(94,883)</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(38,948)</w:t>
            </w:r>
          </w:p>
        </w:tc>
        <w:tc>
          <w:tcPr>
            <w:tcW w:w="0" w:type="dxa"/>
            <w:vAlign w:val="bottom"/>
          </w:tcPr>
          <w:p>
            <w:pPr>
              <w:spacing w:after="0"/>
              <w:rPr>
                <w:sz w:val="1"/>
                <w:szCs w:val="1"/>
                <w:color w:val="auto"/>
              </w:rPr>
            </w:pPr>
          </w:p>
        </w:tc>
      </w:tr>
      <w:tr>
        <w:trPr>
          <w:trHeight w:val="183"/>
        </w:trPr>
        <w:tc>
          <w:tcPr>
            <w:tcW w:w="48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(1,430)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(1,275)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4,420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provision for income taxes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(130,841)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(95,781)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(35,060)</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CCEEFF"/>
            </w:tcBorders>
          </w:tcPr>
          <w:p>
            <w:pPr>
              <w:ind w:left="160"/>
              <w:spacing w:after="0" w:line="202" w:lineRule="exact"/>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(130,932)</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(95,824)</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(35,108)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3" w:lineRule="exact"/>
        <w:rPr>
          <w:sz w:val="20"/>
          <w:szCs w:val="20"/>
          <w:color w:val="auto"/>
        </w:rPr>
      </w:pPr>
    </w:p>
    <w:p>
      <w:pPr>
        <w:ind w:left="60" w:right="619"/>
        <w:spacing w:after="0" w:line="253" w:lineRule="auto"/>
        <w:rPr>
          <w:sz w:val="20"/>
          <w:szCs w:val="20"/>
          <w:color w:val="auto"/>
        </w:rPr>
      </w:pPr>
      <w:r>
        <w:rPr>
          <w:rFonts w:ascii="Arial" w:cs="Arial" w:eastAsia="Arial" w:hAnsi="Arial"/>
          <w:sz w:val="18"/>
          <w:szCs w:val="18"/>
          <w:color w:val="auto"/>
        </w:rPr>
        <w:t>For the year ended December 31, 2022, we recognized revenue of $5.2 million under our collaboration agreement with Bristol-Myers Squibb. There was no collaboration revenue recognized for the year ended December 31, 2021.</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8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66"/>
              <w:spacing w:after="0"/>
              <w:rPr>
                <w:sz w:val="20"/>
                <w:szCs w:val="20"/>
                <w:color w:val="auto"/>
              </w:rPr>
            </w:pPr>
            <w:r>
              <w:rPr>
                <w:rFonts w:ascii="Arial" w:cs="Arial" w:eastAsia="Arial" w:hAnsi="Arial"/>
                <w:sz w:val="14"/>
                <w:szCs w:val="14"/>
                <w:color w:val="auto"/>
              </w:rPr>
              <w:t>Year Ended</w:t>
            </w: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Year Ended</w:t>
            </w: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color w:val="auto"/>
              </w:rPr>
              <w:t>December 31, 2022</w:t>
            </w:r>
          </w:p>
        </w:tc>
        <w:tc>
          <w:tcPr>
            <w:tcW w:w="20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December 31, 2021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Personnel and related costs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42,901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24,651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18,250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Facility and other allocated costs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20"/>
                <w:szCs w:val="20"/>
                <w:color w:val="auto"/>
              </w:rPr>
              <w:t>16,759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0"/>
                <w:szCs w:val="20"/>
                <w:color w:val="auto"/>
              </w:rPr>
              <w:t>8,780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rPr>
              <w:t>7,979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laboratory</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28,455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20,747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7,708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Collaborations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20"/>
                <w:szCs w:val="20"/>
                <w:color w:val="auto"/>
              </w:rPr>
              <w:t>5,415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0"/>
                <w:szCs w:val="20"/>
                <w:color w:val="auto"/>
              </w:rPr>
              <w:t>16,669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auto"/>
                <w:w w:val="99"/>
              </w:rPr>
              <w:t>(11,254)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Consulting</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2,697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2,796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946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2,005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1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97,173</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75,648</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60" w:type="dxa"/>
            <w:vAlign w:val="bottom"/>
            <w:vMerge w:val="restart"/>
          </w:tcPr>
          <w:p>
            <w:pPr>
              <w:jc w:val="right"/>
              <w:ind w:right="316"/>
              <w:spacing w:after="0"/>
              <w:rPr>
                <w:sz w:val="20"/>
                <w:szCs w:val="20"/>
                <w:color w:val="auto"/>
              </w:rPr>
            </w:pPr>
            <w:r>
              <w:rPr>
                <w:rFonts w:ascii="Arial" w:cs="Arial" w:eastAsia="Arial" w:hAnsi="Arial"/>
                <w:sz w:val="18"/>
                <w:szCs w:val="18"/>
                <w:color w:val="auto"/>
              </w:rPr>
              <w:t>153</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86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8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Research and development expenses were $ 97.2 million and $ 75.6 million for the years ended December 31, 2022 and 2021, respectively. The increase of $21.5 million was primarily due to:</w:t>
      </w:r>
    </w:p>
    <w:p>
      <w:pPr>
        <w:spacing w:after="0" w:line="154" w:lineRule="exact"/>
        <w:rPr>
          <w:sz w:val="20"/>
          <w:szCs w:val="20"/>
          <w:color w:val="auto"/>
        </w:rPr>
      </w:pPr>
    </w:p>
    <w:p>
      <w:pPr>
        <w:ind w:left="720" w:right="319" w:hanging="319"/>
        <w:spacing w:after="0" w:line="252" w:lineRule="auto"/>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personnel-related expenses of $18.3 million, including an increase of stock-based compensation of $3.4 million, which was primarily attributable to an increase in headcount to expand our research and development capabilities;</w:t>
      </w:r>
    </w:p>
    <w:p>
      <w:pPr>
        <w:spacing w:after="0" w:line="170" w:lineRule="exact"/>
        <w:rPr>
          <w:rFonts w:ascii="Times New Roman" w:cs="Times New Roman" w:eastAsia="Times New Roman" w:hAnsi="Times New Roman"/>
          <w:sz w:val="18"/>
          <w:szCs w:val="18"/>
          <w:color w:val="auto"/>
        </w:rPr>
      </w:pPr>
    </w:p>
    <w:p>
      <w:pPr>
        <w:ind w:left="720" w:right="459" w:hanging="319"/>
        <w:spacing w:after="0" w:line="270" w:lineRule="auto"/>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$8 million of facility and other allocated costs, including rent and allocated overhead costs as a result of an expansion of our geographic footprint for office and lab space;</w:t>
      </w:r>
    </w:p>
    <w:p>
      <w:pPr>
        <w:spacing w:after="0" w:line="154"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$7.7 million in research and laboratory costs, including laboratory supplies, preclinical and clinical studies;</w:t>
      </w:r>
    </w:p>
    <w:p>
      <w:pPr>
        <w:spacing w:after="0" w:line="154" w:lineRule="exact"/>
        <w:rPr>
          <w:rFonts w:ascii="Times New Roman" w:cs="Times New Roman" w:eastAsia="Times New Roman" w:hAnsi="Times New Roman"/>
          <w:sz w:val="18"/>
          <w:szCs w:val="18"/>
          <w:color w:val="auto"/>
        </w:rPr>
      </w:pPr>
    </w:p>
    <w:p>
      <w:pPr>
        <w:ind w:left="720" w:right="359" w:hanging="319"/>
        <w:spacing w:after="0" w:line="252" w:lineRule="auto"/>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collaborations of $11.3 million which is primarily due our collaboration with FCDI. The decline was due to less in process development work in 2022 as the scope of work with FCDI has narrowed down to primarily manufacturing CNTY-101 clinical supply for us, and</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other expenses of $1.0 million</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General and administrative expenses were $31.9 million and $19.2 million for the years ended December 31, 2022 and 2021, respectively. The increase of $12.7 million was primarily due to increased personnel-related expenses of $3.5 million, and an increase of stock-based compensation of $2.6 million, an increase of $ 5.5 million in facilities and information technology, primarily attributable to an increase in headcount to build our infrastructure, increased directors’ and officers’ insurance expense of $0.8 million, increased professional fees of $0.2 million relating to accounting, audit and legal services as well as costs associated with ongoing business activities and operating as a public company.</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96"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In-process research and development expenses was $10 million for the year ended December 31, 2022. As a direct result of the execution of the Collaboration Agreement with Bristol-Myers Squibb, the Company incurred $10 million in fees to amend the FCDI agreement to gain access to the territory rights of Japan. See Note 11 to our consolidated financial statements. There was no in-process research and development expenses for the year ended December 31,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ind w:left="60" w:right="919"/>
        <w:spacing w:after="0" w:line="271" w:lineRule="auto"/>
        <w:rPr>
          <w:sz w:val="20"/>
          <w:szCs w:val="20"/>
          <w:color w:val="auto"/>
        </w:rPr>
      </w:pPr>
      <w:r>
        <w:rPr>
          <w:rFonts w:ascii="Arial" w:cs="Arial" w:eastAsia="Arial" w:hAnsi="Arial"/>
          <w:sz w:val="18"/>
          <w:szCs w:val="18"/>
          <w:color w:val="auto"/>
        </w:rPr>
        <w:t>Interest expense was $1.4 million and $1.3 million for the years ended December 31, 2022 and 2021, respectively, which related to our Loan Agreement with Hercules.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83"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Other income, net consisted of interest income was $4.4 million and $0.4 million for the years ended December 31, 2022 and 2021, respectively, which included interest earned on our cash, cash equivalents, and investment balances. The increase in our interest income was due to higher interest rates earned on average balances of cash, cash equivalents and investments.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419"/>
        <w:spacing w:after="0" w:line="446"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ind w:left="60" w:right="59"/>
        <w:spacing w:after="0" w:line="236" w:lineRule="auto"/>
        <w:rPr>
          <w:sz w:val="20"/>
          <w:szCs w:val="20"/>
          <w:color w:val="auto"/>
        </w:rPr>
      </w:pPr>
      <w:r>
        <w:rPr>
          <w:rFonts w:ascii="Arial" w:cs="Arial" w:eastAsia="Arial" w:hAnsi="Arial"/>
          <w:sz w:val="18"/>
          <w:szCs w:val="18"/>
          <w:color w:val="auto"/>
        </w:rPr>
        <w:t>To date, we have funded our operations from the issuance and sale of our equity securities, debt financing and collaboration revenues. Since our inception, we have raised approximately $591 million in net proceeds from the sales of our equity securities. As of December 31, 2022, we had cash, and cash equivalents of $84.3 million and investments of $283.1 million. Based on our research and development plans, we believe our existing cash, cash equivalents and investments, will be sufficient to fund our operating expenses and capital expenditures requirements into 2026. Since our inception, we have incurred significant operating losses. We have not yet commercialized any products and we do not expect to generate revenue from sales of any product candidates for a number of years, if ever. We had an accumulated deficit of $519.1 million as of December 31, 2022. As further described in Note 3 of our consolidated financial statements, we obtained a cash capital commitment from Bayer totaling $215 million, from which net proceeds of $74.8 million were received in June 2019, $38.1 million were received in November 2020 and $31.9 million were received in January 2021. The commitment agreement terminated in connection with the Series C Financing, and Bayer has no continuing obligation to invest any additional amounts thereunder. As further described in Note 9 of our consolidated financial statements, we entered into a Loan Agreement with Hercules, pursuant to which net proceeds of $9.6 million were received by us in September 2020. As further described in Note 10 of our consolidated financial statements, in February 2021, we sold 24,721,999 shares of our Series C preferred stock to certain institutional investors for net proceeds of approximately $ 159.6 million. Upon the closing of our IPO, the Series C preferred stock automatically converted into 9,825,513 shares of common stock. On June 22, 2021, we closed our IPO in which we issued and sold 12,132,500 shares of our common stock at a public offering price of $20.00 per share. We received net proceeds of $221.2 million after deducting underwriting discounts and commissions and other expenses. As described in Note 11, in January 2022 we entered into a Collaboration Agreement with Bristol-Myers Squibb resulting in an upfront payment of $100 million. In connection with the Collaboration Agreement, Bristol-Myers Squibb also purchased 2,160,760 shares of our common stock at a price per share of $23.14, for an aggregate purchase price of $50 million.</w:t>
      </w:r>
    </w:p>
    <w:p>
      <w:pPr>
        <w:spacing w:after="0" w:line="191"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 July 2022, we entered into a Sales Agreement, or the Sales Agreement, with Cowen and Company, LLC, or Cowen, under which we may offer and sell, from time to time in our sole discretion, shares of our common stock, having an aggregate offering price of up to $150 million through Cowen as sales agent. No sales have been made under the Sales Agreement since its inception.</w:t>
      </w: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funding requirements</w:t>
      </w:r>
    </w:p>
    <w:p>
      <w:pPr>
        <w:spacing w:after="0" w:line="18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Based on our current business plans, we believe that our existing cash, cash equivalents, and investments, as of December 31, 2022 will be sufficient for us to fund our operating expenses and capital expenditure requirements into 2026. We have based this estimate on assumptions that may prove to be wrong, and we could exhaust our available capital resources sooner than we expect. However,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720" w:right="239" w:hanging="319"/>
        <w:spacing w:after="0" w:line="270" w:lineRule="auto"/>
        <w:tabs>
          <w:tab w:leader="none" w:pos="7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979" w:hanging="319"/>
        <w:spacing w:after="0" w:line="270" w:lineRule="auto"/>
        <w:tabs>
          <w:tab w:leader="none" w:pos="7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224" w:lineRule="exact"/>
        <w:rPr>
          <w:rFonts w:ascii="Times New Roman" w:cs="Times New Roman" w:eastAsia="Times New Roman" w:hAnsi="Times New Roman"/>
          <w:sz w:val="18"/>
          <w:szCs w:val="18"/>
          <w:color w:val="auto"/>
        </w:rPr>
      </w:pPr>
    </w:p>
    <w:p>
      <w:pPr>
        <w:ind w:left="720" w:right="1019" w:hanging="319"/>
        <w:spacing w:after="0" w:line="270" w:lineRule="auto"/>
        <w:tabs>
          <w:tab w:leader="none" w:pos="7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54" w:lineRule="exact"/>
        <w:rPr>
          <w:rFonts w:ascii="Times New Roman" w:cs="Times New Roman" w:eastAsia="Times New Roman" w:hAnsi="Times New Roman"/>
          <w:sz w:val="18"/>
          <w:szCs w:val="18"/>
          <w:color w:val="auto"/>
        </w:rPr>
      </w:pPr>
    </w:p>
    <w:p>
      <w:pPr>
        <w:ind w:left="720" w:right="299" w:hanging="319"/>
        <w:spacing w:after="0" w:line="270" w:lineRule="auto"/>
        <w:tabs>
          <w:tab w:leader="none" w:pos="7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54" w:lineRule="exact"/>
        <w:rPr>
          <w:rFonts w:ascii="Times New Roman" w:cs="Times New Roman" w:eastAsia="Times New Roman" w:hAnsi="Times New Roman"/>
          <w:sz w:val="18"/>
          <w:szCs w:val="18"/>
          <w:color w:val="auto"/>
        </w:rPr>
      </w:pPr>
    </w:p>
    <w:p>
      <w:pPr>
        <w:ind w:left="720" w:right="99" w:hanging="319"/>
        <w:spacing w:after="0" w:line="246" w:lineRule="auto"/>
        <w:tabs>
          <w:tab w:leader="none" w:pos="7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176" w:lineRule="exact"/>
        <w:rPr>
          <w:rFonts w:ascii="Times New Roman" w:cs="Times New Roman" w:eastAsia="Times New Roman" w:hAnsi="Times New Roman"/>
          <w:sz w:val="18"/>
          <w:szCs w:val="18"/>
          <w:color w:val="auto"/>
        </w:rPr>
      </w:pPr>
    </w:p>
    <w:p>
      <w:pPr>
        <w:ind w:left="720" w:right="179" w:hanging="319"/>
        <w:spacing w:after="0" w:line="252" w:lineRule="auto"/>
        <w:tabs>
          <w:tab w:leader="none" w:pos="7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70" w:lineRule="exact"/>
        <w:rPr>
          <w:rFonts w:ascii="Times New Roman" w:cs="Times New Roman" w:eastAsia="Times New Roman" w:hAnsi="Times New Roman"/>
          <w:sz w:val="18"/>
          <w:szCs w:val="18"/>
          <w:color w:val="auto"/>
        </w:rPr>
      </w:pPr>
    </w:p>
    <w:p>
      <w:pPr>
        <w:ind w:left="720" w:right="439" w:hanging="319"/>
        <w:spacing w:after="0" w:line="270" w:lineRule="auto"/>
        <w:tabs>
          <w:tab w:leader="none" w:pos="7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224" w:lineRule="exact"/>
        <w:rPr>
          <w:rFonts w:ascii="Times New Roman" w:cs="Times New Roman" w:eastAsia="Times New Roman" w:hAnsi="Times New Roman"/>
          <w:sz w:val="18"/>
          <w:szCs w:val="18"/>
          <w:color w:val="auto"/>
        </w:rPr>
      </w:pPr>
    </w:p>
    <w:p>
      <w:pPr>
        <w:ind w:left="720" w:right="439" w:hanging="319"/>
        <w:spacing w:after="0" w:line="270" w:lineRule="auto"/>
        <w:tabs>
          <w:tab w:leader="none" w:pos="7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 and</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22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macroeconomic factors such as inflationary pressures, recent liquidity constraints, failures and instability in U.S. and international financial banking systems,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378"/>
              <w:spacing w:after="0"/>
              <w:rPr>
                <w:sz w:val="20"/>
                <w:szCs w:val="20"/>
                <w:color w:val="auto"/>
              </w:rPr>
            </w:pPr>
            <w:r>
              <w:rPr>
                <w:rFonts w:ascii="Arial" w:cs="Arial" w:eastAsia="Arial" w:hAnsi="Arial"/>
                <w:sz w:val="14"/>
                <w:szCs w:val="14"/>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296"/>
              <w:spacing w:after="0"/>
              <w:rPr>
                <w:sz w:val="20"/>
                <w:szCs w:val="20"/>
                <w:color w:val="auto"/>
              </w:rPr>
            </w:pPr>
            <w:r>
              <w:rPr>
                <w:rFonts w:ascii="Arial" w:cs="Arial" w:eastAsia="Arial" w:hAnsi="Arial"/>
                <w:sz w:val="14"/>
                <w:szCs w:val="14"/>
                <w:color w:val="auto"/>
              </w:rPr>
              <w:t>Year ended</w:t>
            </w:r>
          </w:p>
        </w:tc>
      </w:tr>
      <w:tr>
        <w:trPr>
          <w:trHeight w:val="171"/>
        </w:trPr>
        <w:tc>
          <w:tcPr>
            <w:tcW w:w="5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December 31, 2022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December 31, 2021</w:t>
            </w:r>
          </w:p>
        </w:tc>
      </w:tr>
      <w:tr>
        <w:trPr>
          <w:trHeight w:val="142"/>
        </w:trPr>
        <w:tc>
          <w:tcPr>
            <w:tcW w:w="5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60" w:type="dxa"/>
            <w:vAlign w:val="bottom"/>
            <w:gridSpan w:val="4"/>
          </w:tcPr>
          <w:p>
            <w:pPr>
              <w:jc w:val="right"/>
              <w:ind w:right="1116"/>
              <w:spacing w:after="0" w:line="142" w:lineRule="exact"/>
              <w:rPr>
                <w:sz w:val="20"/>
                <w:szCs w:val="20"/>
                <w:color w:val="auto"/>
              </w:rPr>
            </w:pPr>
            <w:r>
              <w:rPr>
                <w:rFonts w:ascii="Arial" w:cs="Arial" w:eastAsia="Arial" w:hAnsi="Arial"/>
                <w:sz w:val="14"/>
                <w:szCs w:val="14"/>
                <w:color w:val="auto"/>
              </w:rPr>
              <w:t>(in thousands)</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Operating activities</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14,052</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(89,002)</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(298,338)</w:t>
            </w:r>
          </w:p>
        </w:tc>
      </w:tr>
      <w:tr>
        <w:trPr>
          <w:trHeight w:val="203"/>
        </w:trPr>
        <w:tc>
          <w:tcPr>
            <w:tcW w:w="51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Financing activities</w:t>
            </w:r>
          </w:p>
        </w:tc>
        <w:tc>
          <w:tcPr>
            <w:tcW w:w="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27,158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417,774</w:t>
            </w:r>
          </w:p>
        </w:tc>
      </w:tr>
      <w:tr>
        <w:trPr>
          <w:trHeight w:val="196"/>
        </w:trPr>
        <w:tc>
          <w:tcPr>
            <w:tcW w:w="5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28,082</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30,434</w:t>
            </w:r>
          </w:p>
        </w:tc>
      </w:tr>
      <w:tr>
        <w:trPr>
          <w:trHeight w:val="20"/>
        </w:trPr>
        <w:tc>
          <w:tcPr>
            <w:tcW w:w="5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Net cash provided by operating activities was $ 14.1 million, and net cash used in operating activities was $89 million for the years ended December 31, 2022 and 2021, respectively. Net cash provided by operating activities during the year ended December 31, 2022 consisted primarily of an increase in deferred revenues of $118 million, an increase in accrued expenses of $4 million, an increase in operating lease liability of $5.3 million, and an increase of non-cash charges of $20.9 million. The non-cash charges of $ 20.9 million consisted primarily of $10.7 million of stock-based compensation expense, depreciation expense of $8.4 million, and operating lease expense of $1.6 million. This increase was partially offset by our net loss of $130.9 million and net cash outflows from decreases in our accounts payable of $4.8 million.</w:t>
      </w:r>
    </w:p>
    <w:p>
      <w:pPr>
        <w:spacing w:after="0" w:line="207"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Net cash used in operating activities was $89 million for the year ended December 31, 2021. Net cash used in operating activities during the year ended December 31, 2021 consisted primarily of our net loss of $95.8 million and net cash outflows from decreases in our accounts payable of $1.8 million, increases in our prepaid expenses and other assets of $3.2 million, partially offset by increases in accrued expenses and other liabilities of $1.5 million, and non-cash charges of $9.6 million. The non-cash charges of $9.6 million consisted primarily of $3.7 million for depreciation expense, stock-based compensation expense of $4.7 million, and operating lease expense of $0.8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1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Cash used in investing activities was $13.1 million and $298.3 million for the years ended December 31, 2022 and 2021, respectively. Cash used in investing activities for the year ended December 31, 2022, was $13 million, which consisted primarily of net purchases of investments of $ 254 million, and purchases of property and equipment of $30.6 million, which was partially offset by net sales of fixed maturity securities of $271.5 million.</w:t>
      </w:r>
    </w:p>
    <w:p>
      <w:pPr>
        <w:spacing w:after="0" w:line="176" w:lineRule="exact"/>
        <w:rPr>
          <w:sz w:val="20"/>
          <w:szCs w:val="20"/>
          <w:color w:val="auto"/>
        </w:rPr>
      </w:pPr>
    </w:p>
    <w:p>
      <w:pPr>
        <w:jc w:val="both"/>
        <w:ind w:left="60" w:right="419"/>
        <w:spacing w:after="0" w:line="253" w:lineRule="auto"/>
        <w:rPr>
          <w:sz w:val="20"/>
          <w:szCs w:val="20"/>
          <w:color w:val="auto"/>
        </w:rPr>
      </w:pPr>
      <w:r>
        <w:rPr>
          <w:rFonts w:ascii="Arial" w:cs="Arial" w:eastAsia="Arial" w:hAnsi="Arial"/>
          <w:sz w:val="18"/>
          <w:szCs w:val="18"/>
          <w:color w:val="auto"/>
        </w:rPr>
        <w:t>Cash used in investing activities for the year ended December 31, 2021 was $298.3 million which consisted primarily of net purchases of investments of $ 330 million, and purchases of property and equipment of $45 million partially, which was offset by net sales of fixed maturity securities of $76.7 million.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1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Cash provided by financing activities was $27.2 million and $417.8 million for the years ended December 31, 2022 and 2021, respectively. Cash provided by financing activities for the year ended December 31, 2022 consisted primarily of proceeds from issuance of shares to Bristol-Myers Squibb for $26.8 million, and proceeds from issuance of common stock of $0.3 million.</w:t>
      </w:r>
    </w:p>
    <w:p>
      <w:pPr>
        <w:spacing w:after="0" w:line="174"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Cash provided by financing activities for the year ended December 31, 2021 consisted primarily of net proceeds from our initial public offering of $221.4 million, net proceeds from collection of subscription receivable of $31.9 million and net proceeds from sale of our Series C preferred shares of $159.6 million</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which upon initial public offering were converted to common stock, and cash of $2.3 million resulting from Prior Century merging with and into us.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2"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The following table summarizes our significant contractual obligations and commitments as of December 31, 2022:</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9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Payments Due by Period</w:t>
            </w:r>
          </w:p>
        </w:tc>
      </w:tr>
      <w:tr>
        <w:trPr>
          <w:trHeight w:val="156"/>
        </w:trPr>
        <w:tc>
          <w:tcPr>
            <w:tcW w:w="2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 Year</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 to 3 Years</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3 to 5 Years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More than 5 Years</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Total</w:t>
            </w:r>
          </w:p>
        </w:tc>
      </w:tr>
      <w:tr>
        <w:trPr>
          <w:trHeight w:val="155"/>
        </w:trPr>
        <w:tc>
          <w:tcPr>
            <w:tcW w:w="29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398"/>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17,245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17,847</w:t>
            </w:r>
          </w:p>
        </w:tc>
        <w:tc>
          <w:tcPr>
            <w:tcW w:w="5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$ 94,325</w:t>
            </w:r>
          </w:p>
        </w:tc>
      </w:tr>
      <w:tr>
        <w:trPr>
          <w:trHeight w:val="405"/>
        </w:trPr>
        <w:tc>
          <w:tcPr>
            <w:tcW w:w="2980" w:type="dxa"/>
            <w:vAlign w:val="bottom"/>
          </w:tcPr>
          <w:p>
            <w:pPr>
              <w:spacing w:after="0"/>
              <w:rPr>
                <w:sz w:val="20"/>
                <w:szCs w:val="20"/>
                <w:color w:val="auto"/>
              </w:rPr>
            </w:pPr>
            <w:r>
              <w:rPr>
                <w:rFonts w:ascii="Arial" w:cs="Arial" w:eastAsia="Arial" w:hAnsi="Arial"/>
                <w:sz w:val="18"/>
                <w:szCs w:val="18"/>
                <w:color w:val="auto"/>
              </w:rPr>
              <w:t>Long-term debt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3,893</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10,395</w:t>
            </w:r>
          </w:p>
        </w:tc>
      </w:tr>
      <w:tr>
        <w:trPr>
          <w:trHeight w:val="405"/>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on long-term debt </w:t>
            </w:r>
            <w:r>
              <w:rPr>
                <w:rFonts w:ascii="Arial" w:cs="Arial" w:eastAsia="Arial" w:hAnsi="Arial"/>
                <w:sz w:val="26"/>
                <w:szCs w:val="26"/>
                <w:color w:val="auto"/>
                <w:vertAlign w:val="superscript"/>
              </w:rPr>
              <w:t>(1)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60" w:right="619" w:hanging="10"/>
        <w:spacing w:after="0" w:line="264" w:lineRule="auto"/>
        <w:tabs>
          <w:tab w:leader="none" w:pos="374"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Reflects minimum interest payable under the Loan Agreement. Payment herein subject to variable rate debt have been estimated.</w:t>
      </w:r>
    </w:p>
    <w:p>
      <w:pPr>
        <w:spacing w:after="0" w:line="13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Other than as disclosed in the table above, the payment obligations under our license, collaboration, and acquisition agreements as of December 31, 2022 are contingent upon future events such as our achievement of pre- specified development, regulatory, and commercial milestones, or royalties on net product sales. As of December 31, 2022, the timing and likelihood of achieving the milestones and success payments and generating future product sales are uncertain and therefore, any related payments are not included in the table above. We have commitments under operating leases for certain facilities used in our operations. Our leases have initial lease terms ranging from 5 to 16 years.</w:t>
      </w:r>
    </w:p>
    <w:p>
      <w:pPr>
        <w:spacing w:after="0" w:line="185"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12 to our consolidated financial statements for additional information.</w:t>
      </w:r>
    </w:p>
    <w:p>
      <w:pPr>
        <w:spacing w:after="0" w:line="174"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We have entered into a $10 million Term Loan Agreement with Hercules. Amounts borrowed under the Loan Agreement have an interest-only period of up to 30 months and a maturity date of April 1, 2024. See Note 9 to our consolidated financial statements for additional information.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12"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76" w:lineRule="exact"/>
        <w:rPr>
          <w:sz w:val="20"/>
          <w:szCs w:val="20"/>
          <w:color w:val="auto"/>
        </w:rPr>
      </w:pPr>
    </w:p>
    <w:p>
      <w:pPr>
        <w:ind w:left="720" w:right="299" w:hanging="319"/>
        <w:spacing w:after="0" w:line="270" w:lineRule="auto"/>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presenting reduced disclosure about our executive compensation arrangements;</w:t>
      </w:r>
    </w:p>
    <w:p>
      <w:pPr>
        <w:spacing w:after="0" w:line="224" w:lineRule="exact"/>
        <w:rPr>
          <w:rFonts w:ascii="Times New Roman" w:cs="Times New Roman" w:eastAsia="Times New Roman" w:hAnsi="Times New Roman"/>
          <w:sz w:val="18"/>
          <w:szCs w:val="18"/>
          <w:color w:val="auto"/>
        </w:rPr>
      </w:pPr>
    </w:p>
    <w:p>
      <w:pPr>
        <w:ind w:left="720" w:right="359" w:hanging="319"/>
        <w:spacing w:after="0" w:line="252" w:lineRule="auto"/>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70" w:lineRule="exact"/>
        <w:rPr>
          <w:rFonts w:ascii="Times New Roman" w:cs="Times New Roman" w:eastAsia="Times New Roman" w:hAnsi="Times New Roman"/>
          <w:sz w:val="18"/>
          <w:szCs w:val="18"/>
          <w:color w:val="auto"/>
        </w:rPr>
      </w:pPr>
    </w:p>
    <w:p>
      <w:pPr>
        <w:ind w:left="720" w:right="179" w:hanging="319"/>
        <w:spacing w:after="0" w:line="270" w:lineRule="auto"/>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ectPr>
          <w:pgSz w:w="11900" w:h="16838" w:orient="portrait"/>
          <w:cols w:equalWidth="0" w:num="1">
            <w:col w:w="9019"/>
          </w:cols>
          <w:pgMar w:left="1440" w:top="513" w:right="1440"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22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8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Exchange Act, as amended, or the Exchange Act, which would occur if the market value of our common stock held by non-affiliates exceeded $700 million as of the last business day of the second fiscal quarter of such year or (iv) the date on which we have issued more than $1 billion in non-convertible debt securities during the prior three-year period.</w:t>
      </w:r>
    </w:p>
    <w:p>
      <w:pPr>
        <w:spacing w:after="0" w:line="18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 million and our annual revenue is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Our audited consolidated financial statements are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described in more detail in the notes to our audited consolidated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0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recognize revenue in accordance with ASC Topic 606, Revenue from Contracts with Customers, or ASC</w:t>
      </w:r>
    </w:p>
    <w:p>
      <w:pPr>
        <w:spacing w:after="0" w:line="14" w:lineRule="exact"/>
        <w:rPr>
          <w:sz w:val="20"/>
          <w:szCs w:val="20"/>
          <w:color w:val="auto"/>
        </w:rPr>
      </w:pPr>
    </w:p>
    <w:p>
      <w:pPr>
        <w:ind w:left="60" w:right="239" w:hanging="10"/>
        <w:spacing w:after="0" w:line="248"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This standard applies to all contracts with customers. When an agreement falls under the scope of other standards, such as ASC Topic 808, Collaborative Arrangements, or ASC 808, we will apply the recognition, measurement, presentation, and disclosure guidance in ASC 606 to the performance obligations in the agreements if those performance obligations are with a customer. Revenue recognized by analogizing to ASC</w:t>
      </w:r>
    </w:p>
    <w:p>
      <w:pPr>
        <w:spacing w:after="0" w:line="2" w:lineRule="exact"/>
        <w:rPr>
          <w:rFonts w:ascii="Arial" w:cs="Arial" w:eastAsia="Arial" w:hAnsi="Arial"/>
          <w:sz w:val="17"/>
          <w:szCs w:val="17"/>
          <w:color w:val="auto"/>
        </w:rPr>
      </w:pPr>
    </w:p>
    <w:p>
      <w:pPr>
        <w:ind w:left="400" w:hanging="350"/>
        <w:spacing w:after="0"/>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is recorded as collaboration revenue on the statements of operations.</w:t>
      </w:r>
    </w:p>
    <w:p>
      <w:pPr>
        <w:spacing w:after="0" w:line="8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we satisfy each performance obligation.</w:t>
      </w:r>
    </w:p>
    <w:p>
      <w:pPr>
        <w:spacing w:after="0" w:line="7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 part of the accounting for these arrangements, we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We also apply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non-current.</w:t>
      </w:r>
    </w:p>
    <w:p>
      <w:pPr>
        <w:spacing w:after="0" w:line="78"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not determined to represent a material right, no transaction price is allocated to these options and we will account for these options at that time they are exercised. If the customer options are determined to represent a material right, the material right is recognized as a separate performance obligation at the outset of the arrangement.</w:t>
      </w:r>
    </w:p>
    <w:p>
      <w:pPr>
        <w:spacing w:after="0" w:line="72"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The obligations under our collaboration agreements may include research and development services to be performed by us for or on behalf of the customer. Amounts allocated to these performance obligations are recognized as we perform these obligations, and revenue is measures based on an inputs method of costs incurred to date of budgeted costs. Under certain circumstances, we may be reimbursed for certain expenses incurred under the research and development services.</w:t>
      </w:r>
    </w:p>
    <w:p>
      <w:pPr>
        <w:spacing w:after="0" w:line="6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At the inception of each arrangement that includes development milestone payments, we evaluate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us or the licensee,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record research and development costs in the periods in which they are incurred. We accrue for research and development costs based on the estimated services performed, but not yet invoiced, pursuant to contracts with research institutions or other service providers that conduct and manage preclinical studies and other research services on our behalf and record these costs in accrued and other current liabilities. We make judgments and estimates in determining the accrued liabilities balance at each reporting period. Payments made prior to the receipt of goods or services to be used in research and development are recorded as prepaid expenses until the goods or services are received.</w:t>
      </w:r>
    </w:p>
    <w:p>
      <w:pPr>
        <w:spacing w:after="0" w:line="185"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76"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To date, we have not experienced any material differences between accrued costs and actual costs incurred. However, the status and timing of actual services performed may vary from our estimates, resulting in adjustments to expenses in future periods. Changes in these estimates that result in material changes to our accruals could materially affect our results of operations.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0"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We recognize compensation costs related to restricted stock awards, restricted stock shares, and stock options granted to employees and nonemployees based on the estimated fair value of the awards on the date of grant, and we recognize forfeitures as they occur. For restricted stock</w:t>
      </w:r>
    </w:p>
    <w:p>
      <w:pPr>
        <w:spacing w:after="0" w:line="169" w:lineRule="exact"/>
        <w:rPr>
          <w:sz w:val="20"/>
          <w:szCs w:val="20"/>
          <w:color w:val="auto"/>
        </w:rPr>
      </w:pPr>
    </w:p>
    <w:p>
      <w:pPr>
        <w:ind w:left="60" w:right="159" w:firstLine="50"/>
        <w:spacing w:after="0" w:line="266" w:lineRule="auto"/>
        <w:rPr>
          <w:sz w:val="20"/>
          <w:szCs w:val="20"/>
          <w:color w:val="auto"/>
        </w:rPr>
      </w:pPr>
      <w:r>
        <w:rPr>
          <w:rFonts w:ascii="Arial" w:cs="Arial" w:eastAsia="Arial" w:hAnsi="Arial"/>
          <w:sz w:val="17"/>
          <w:szCs w:val="17"/>
          <w:color w:val="auto"/>
        </w:rPr>
        <w:t>awards the fair value of our common stock is used to determine the resulting stock-based compensation expense. For stock options we estimate the grant date fair value, and the resulting stock-based compensation expense, using the Black-Scholes option pricing model. The fair value of the stock-based awards is recognized as an expense on a straight-line basis over the requisite service period, which is generally the vesting period.</w:t>
      </w:r>
    </w:p>
    <w:p>
      <w:pPr>
        <w:spacing w:after="0" w:line="159"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The Black-Scholes option pricing model requires the use of highly subjective assumptions to determine the fair value of stock-based awards. These assumptions include:</w:t>
      </w:r>
    </w:p>
    <w:p>
      <w:pPr>
        <w:spacing w:after="0" w:line="154" w:lineRule="exact"/>
        <w:rPr>
          <w:sz w:val="20"/>
          <w:szCs w:val="20"/>
          <w:color w:val="auto"/>
        </w:rPr>
      </w:pPr>
    </w:p>
    <w:p>
      <w:pPr>
        <w:ind w:left="720" w:right="179" w:hanging="319"/>
        <w:spacing w:after="0" w:line="238" w:lineRule="auto"/>
        <w:tabs>
          <w:tab w:leader="none" w:pos="72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Fair Value of Common Stock-After our IPO in June 2021, the fair value of stock-based awards was determined on the grant date using the closing price of the our common stock. As there was no public market for our common stock before the IPO, the estimated fair value of our common stock was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Third-party valuations of our common stock were performed in accordance with the guidance outlined in the American Institute of Certified Public Accountants’ Accounting and Valuation Guide, Valuation of Privately-Held-Company Equity Securities Issued as Compensation.</w:t>
      </w:r>
    </w:p>
    <w:p>
      <w:pPr>
        <w:spacing w:after="0" w:line="187"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Expected Term—The expected term represents the period that the stock-based awards are expected to be outstanding. We use the simplified method to determine the expected term, which is based on the average of the time-to-vesting and the contractual life of the options.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319" w:hanging="319"/>
        <w:spacing w:after="0" w:line="242" w:lineRule="auto"/>
        <w:tabs>
          <w:tab w:leader="none" w:pos="7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Expected Volatility—Due to lack of trading history for our common stock, the expected volatility is estimated based on the average historical volatilities of common stock of comparable publicly traded entities over a time period equal to the expected term of the stock option grants. The comparable companies are chosen based on their size, stage in the product development cycle, and area of specialty. We will continue to apply this process until sufficient historical information regarding the volatility of our own stock price becomes available.</w:t>
      </w:r>
    </w:p>
    <w:p>
      <w:pPr>
        <w:spacing w:after="0" w:line="177" w:lineRule="exact"/>
        <w:rPr>
          <w:rFonts w:ascii="Times New Roman" w:cs="Times New Roman" w:eastAsia="Times New Roman" w:hAnsi="Times New Roman"/>
          <w:sz w:val="18"/>
          <w:szCs w:val="18"/>
          <w:color w:val="auto"/>
        </w:rPr>
      </w:pPr>
    </w:p>
    <w:p>
      <w:pPr>
        <w:jc w:val="both"/>
        <w:ind w:left="720" w:right="199" w:hanging="319"/>
        <w:spacing w:after="0" w:line="252" w:lineRule="auto"/>
        <w:tabs>
          <w:tab w:leader="none" w:pos="7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Risk-Free Interest Rate—The risk-free interest rate is based on the U.S. Treasury yield in effect at the time of grant for zero-coupon U.S. Treasury notes with maturities approximately equal to the expected term of the awards.</w:t>
      </w:r>
    </w:p>
    <w:p>
      <w:pPr>
        <w:spacing w:after="0" w:line="170"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Expected Dividend— We have never paid dividends on our common stock and have no plans to pay dividends on our common stock. Therefore, we used an expected dividend yield of zero.</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2"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and liquidity risk</w:t>
      </w:r>
    </w:p>
    <w:p>
      <w:pPr>
        <w:spacing w:after="0" w:line="210"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color w:val="auto"/>
        </w:rPr>
        <w:t>We had cash, cash equivalents, and restricted cash of $ 86.2 million as of December 31, 2022, which consisted of bank deposits and money market funds. We also had investments of $283.1 million as of December 31, 2022.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 Additionally, we had the $10.0 million borrowing related to the Loan Agreement in September 2020 with a floating interest rate per annum (based on a year of 360 days) equal to (i) the sum of (a) the greater of</w:t>
      </w:r>
    </w:p>
    <w:p>
      <w:pPr>
        <w:spacing w:after="0" w:line="4"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6.30% plus (b) the prime rate as reported in The Wall Street Journal on the last business day of the month that immediately precedes the month in which the interest will accrue, or (ii) 9.55%. We are therefore exposed to changes in variable United States interest rates on borrowings under our Loan Agreement. A hypothetical 1% increase in interest rates would not result in a material impact to our business.</w:t>
      </w:r>
    </w:p>
    <w:p>
      <w:pPr>
        <w:spacing w:after="0" w:line="167"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In addition, we are subject to liquidity risk. On March 10, 2023, Silicon Valley Bank (“SVB”) was closed by the California Department of Financial Protection and Innovation, and the Federal Deposit Insurance Corporation (“FDIC”) was appointed as receiver. At the time the FDIC was appointed receiver, we had deposit, sweep and other accounts at SVB, which represented less than 1% of our total cash, cash equivalents, restricted cash and investments. We have established a redundant operating account with a major U.S. banking institution.</w:t>
      </w:r>
    </w:p>
    <w:p>
      <w:pPr>
        <w:spacing w:after="0" w:line="3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10"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Inflation generally affects us by increasing our cost of labor and laboratory consumables. We believe that inflation has not had a material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782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60" w:type="dxa"/>
            <w:vAlign w:val="bottom"/>
          </w:tcPr>
          <w:p>
            <w:pPr>
              <w:spacing w:after="0"/>
              <w:rPr>
                <w:sz w:val="21"/>
                <w:szCs w:val="21"/>
                <w:color w:val="auto"/>
              </w:rPr>
            </w:pPr>
          </w:p>
        </w:tc>
      </w:tr>
      <w:tr>
        <w:trPr>
          <w:trHeight w:val="418"/>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60" w:type="dxa"/>
            <w:vAlign w:val="bottom"/>
            <w:gridSpan w:val="6"/>
          </w:tcPr>
          <w:p>
            <w:pPr>
              <w:jc w:val="center"/>
              <w:ind w:right="1280"/>
              <w:spacing w:after="0"/>
              <w:rPr>
                <w:sz w:val="20"/>
                <w:szCs w:val="20"/>
                <w:color w:val="auto"/>
              </w:rPr>
            </w:pPr>
            <w:r>
              <w:rPr>
                <w:rFonts w:ascii="Arial" w:cs="Arial" w:eastAsia="Arial" w:hAnsi="Arial"/>
                <w:sz w:val="18"/>
                <w:szCs w:val="18"/>
                <w:b w:val="1"/>
                <w:bCs w:val="1"/>
                <w:color w:val="auto"/>
                <w:w w:val="99"/>
              </w:rPr>
              <w:t>CENTURY THERAPEUTICS, INC.</w:t>
            </w:r>
          </w:p>
        </w:tc>
        <w:tc>
          <w:tcPr>
            <w:tcW w:w="1060" w:type="dxa"/>
            <w:vAlign w:val="bottom"/>
          </w:tcPr>
          <w:p>
            <w:pPr>
              <w:spacing w:after="0"/>
              <w:rPr>
                <w:sz w:val="24"/>
                <w:szCs w:val="24"/>
                <w:color w:val="auto"/>
              </w:rPr>
            </w:pPr>
          </w:p>
        </w:tc>
      </w:tr>
      <w:tr>
        <w:trPr>
          <w:trHeight w:val="419"/>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60" w:type="dxa"/>
            <w:vAlign w:val="bottom"/>
            <w:gridSpan w:val="6"/>
          </w:tcPr>
          <w:p>
            <w:pPr>
              <w:jc w:val="center"/>
              <w:ind w:right="130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1060" w:type="dxa"/>
            <w:vAlign w:val="bottom"/>
          </w:tcPr>
          <w:p>
            <w:pPr>
              <w:spacing w:after="0"/>
              <w:rPr>
                <w:sz w:val="24"/>
                <w:szCs w:val="24"/>
                <w:color w:val="auto"/>
              </w:rPr>
            </w:pPr>
          </w:p>
        </w:tc>
      </w:tr>
      <w:tr>
        <w:trPr>
          <w:trHeight w:val="415"/>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center"/>
              <w:ind w:left="190"/>
              <w:spacing w:after="0"/>
              <w:rPr>
                <w:sz w:val="20"/>
                <w:szCs w:val="20"/>
                <w:color w:val="auto"/>
              </w:rPr>
            </w:pPr>
            <w:r>
              <w:rPr>
                <w:rFonts w:ascii="Arial" w:cs="Arial" w:eastAsia="Arial" w:hAnsi="Arial"/>
                <w:sz w:val="18"/>
                <w:szCs w:val="18"/>
                <w:b w:val="1"/>
                <w:bCs w:val="1"/>
                <w:color w:val="auto"/>
              </w:rPr>
              <w:t>Page No.</w:t>
            </w:r>
          </w:p>
        </w:tc>
      </w:tr>
      <w:tr>
        <w:trPr>
          <w:trHeight w:val="194"/>
        </w:trPr>
        <w:tc>
          <w:tcPr>
            <w:tcW w:w="7820" w:type="dxa"/>
            <w:vAlign w:val="bottom"/>
            <w:gridSpan w:val="9"/>
          </w:tcPr>
          <w:p>
            <w:pPr>
              <w:spacing w:after="0" w:line="195" w:lineRule="exact"/>
              <w:rPr>
                <w:sz w:val="20"/>
                <w:szCs w:val="20"/>
                <w:color w:val="auto"/>
              </w:rPr>
            </w:pPr>
            <w:r>
              <w:rPr>
                <w:rFonts w:ascii="Arial" w:cs="Arial" w:eastAsia="Arial" w:hAnsi="Arial"/>
                <w:sz w:val="18"/>
                <w:szCs w:val="18"/>
                <w:color w:val="0000EE"/>
              </w:rPr>
              <w:t xml:space="preserve">Report of Ernst &amp; Young, LLP, Independent Registered Public Accounting Firm </w:t>
            </w:r>
            <w:r>
              <w:rPr>
                <w:rFonts w:ascii="Arial" w:cs="Arial" w:eastAsia="Arial" w:hAnsi="Arial"/>
                <w:sz w:val="18"/>
                <w:szCs w:val="18"/>
                <w:color w:val="000000"/>
              </w:rPr>
              <w:t>(PCAOB ID:42)</w:t>
            </w:r>
          </w:p>
        </w:tc>
        <w:tc>
          <w:tcPr>
            <w:tcW w:w="1060" w:type="dxa"/>
            <w:vAlign w:val="bottom"/>
          </w:tcPr>
          <w:p>
            <w:pPr>
              <w:jc w:val="center"/>
              <w:ind w:left="190"/>
              <w:spacing w:after="0" w:line="195" w:lineRule="exact"/>
              <w:rPr>
                <w:sz w:val="20"/>
                <w:szCs w:val="20"/>
                <w:color w:val="auto"/>
              </w:rPr>
            </w:pPr>
            <w:r>
              <w:rPr>
                <w:rFonts w:ascii="Arial" w:cs="Arial" w:eastAsia="Arial" w:hAnsi="Arial"/>
                <w:sz w:val="18"/>
                <w:szCs w:val="18"/>
                <w:color w:val="auto"/>
                <w:w w:val="99"/>
              </w:rPr>
              <w:t>164</w:t>
            </w:r>
          </w:p>
        </w:tc>
      </w:tr>
      <w:tr>
        <w:trPr>
          <w:trHeight w:val="209"/>
        </w:trPr>
        <w:tc>
          <w:tcPr>
            <w:tcW w:w="23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9"/>
              </w:rPr>
              <w:t>Consolidated Balance Sheets</w:t>
            </w:r>
          </w:p>
        </w:tc>
        <w:tc>
          <w:tcPr>
            <w:tcW w:w="3880" w:type="dxa"/>
            <w:vAlign w:val="bottom"/>
            <w:tcBorders>
              <w:top w:val="single" w:sz="8" w:color="0000EE"/>
            </w:tcBorders>
            <w:gridSpan w:val="4"/>
          </w:tcPr>
          <w:p>
            <w:pPr>
              <w:spacing w:after="0"/>
              <w:rPr>
                <w:sz w:val="18"/>
                <w:szCs w:val="18"/>
                <w:color w:val="auto"/>
              </w:rPr>
            </w:pPr>
          </w:p>
        </w:tc>
        <w:tc>
          <w:tcPr>
            <w:tcW w:w="1580" w:type="dxa"/>
            <w:vAlign w:val="bottom"/>
            <w:gridSpan w:val="2"/>
          </w:tcPr>
          <w:p>
            <w:pPr>
              <w:spacing w:after="0"/>
              <w:rPr>
                <w:sz w:val="18"/>
                <w:szCs w:val="18"/>
                <w:color w:val="auto"/>
              </w:rPr>
            </w:pPr>
          </w:p>
        </w:tc>
        <w:tc>
          <w:tcPr>
            <w:tcW w:w="1060" w:type="dxa"/>
            <w:vAlign w:val="bottom"/>
          </w:tcPr>
          <w:p>
            <w:pPr>
              <w:jc w:val="center"/>
              <w:ind w:left="190"/>
              <w:spacing w:after="0"/>
              <w:rPr>
                <w:sz w:val="20"/>
                <w:szCs w:val="20"/>
                <w:color w:val="auto"/>
              </w:rPr>
            </w:pPr>
            <w:r>
              <w:rPr>
                <w:rFonts w:ascii="Arial" w:cs="Arial" w:eastAsia="Arial" w:hAnsi="Arial"/>
                <w:sz w:val="18"/>
                <w:szCs w:val="18"/>
                <w:color w:val="auto"/>
                <w:w w:val="99"/>
              </w:rPr>
              <w:t>165</w:t>
            </w:r>
          </w:p>
        </w:tc>
      </w:tr>
      <w:tr>
        <w:trPr>
          <w:trHeight w:val="209"/>
        </w:trPr>
        <w:tc>
          <w:tcPr>
            <w:tcW w:w="7820" w:type="dxa"/>
            <w:vAlign w:val="bottom"/>
            <w:gridSpan w:val="9"/>
          </w:tcPr>
          <w:p>
            <w:pPr>
              <w:spacing w:after="0"/>
              <w:rPr>
                <w:sz w:val="20"/>
                <w:szCs w:val="20"/>
                <w:color w:val="auto"/>
              </w:rPr>
            </w:pPr>
            <w:r>
              <w:rPr>
                <w:rFonts w:ascii="Arial" w:cs="Arial" w:eastAsia="Arial" w:hAnsi="Arial"/>
                <w:sz w:val="18"/>
                <w:szCs w:val="18"/>
                <w:color w:val="0000EE"/>
              </w:rPr>
              <w:t>Consolidated Statements of Operations and Comprehensive Loss</w:t>
            </w:r>
          </w:p>
        </w:tc>
        <w:tc>
          <w:tcPr>
            <w:tcW w:w="1060" w:type="dxa"/>
            <w:vAlign w:val="bottom"/>
          </w:tcPr>
          <w:p>
            <w:pPr>
              <w:jc w:val="center"/>
              <w:ind w:left="190"/>
              <w:spacing w:after="0"/>
              <w:rPr>
                <w:sz w:val="20"/>
                <w:szCs w:val="20"/>
                <w:color w:val="auto"/>
              </w:rPr>
            </w:pPr>
            <w:r>
              <w:rPr>
                <w:rFonts w:ascii="Arial" w:cs="Arial" w:eastAsia="Arial" w:hAnsi="Arial"/>
                <w:sz w:val="18"/>
                <w:szCs w:val="18"/>
                <w:color w:val="auto"/>
                <w:w w:val="99"/>
              </w:rPr>
              <w:t>166</w:t>
            </w:r>
          </w:p>
        </w:tc>
      </w:tr>
      <w:tr>
        <w:trPr>
          <w:trHeight w:val="20"/>
        </w:trPr>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74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Consolidated Statements of Changes in Convertible Preferred Stock and Stockholders’ Equity</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7700" w:type="dxa"/>
            <w:vAlign w:val="bottom"/>
            <w:gridSpan w:val="8"/>
          </w:tcPr>
          <w:p>
            <w:pPr>
              <w:spacing w:after="0"/>
              <w:rPr>
                <w:sz w:val="20"/>
                <w:szCs w:val="20"/>
                <w:color w:val="auto"/>
              </w:rPr>
            </w:pPr>
            <w:r>
              <w:rPr>
                <w:rFonts w:ascii="Arial" w:cs="Arial" w:eastAsia="Arial" w:hAnsi="Arial"/>
                <w:sz w:val="18"/>
                <w:szCs w:val="18"/>
                <w:color w:val="0000EE"/>
              </w:rPr>
              <w:t>(Deficit)</w:t>
            </w:r>
          </w:p>
        </w:tc>
        <w:tc>
          <w:tcPr>
            <w:tcW w:w="1060" w:type="dxa"/>
            <w:vAlign w:val="bottom"/>
          </w:tcPr>
          <w:p>
            <w:pPr>
              <w:jc w:val="center"/>
              <w:ind w:left="190"/>
              <w:spacing w:after="0"/>
              <w:rPr>
                <w:sz w:val="20"/>
                <w:szCs w:val="20"/>
                <w:color w:val="auto"/>
              </w:rPr>
            </w:pPr>
            <w:r>
              <w:rPr>
                <w:rFonts w:ascii="Arial" w:cs="Arial" w:eastAsia="Arial" w:hAnsi="Arial"/>
                <w:sz w:val="18"/>
                <w:szCs w:val="18"/>
                <w:color w:val="auto"/>
                <w:w w:val="99"/>
              </w:rPr>
              <w:t>167</w:t>
            </w: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32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Consolidated Statements of Cash Flows</w:t>
            </w:r>
          </w:p>
        </w:tc>
        <w:tc>
          <w:tcPr>
            <w:tcW w:w="4620" w:type="dxa"/>
            <w:vAlign w:val="bottom"/>
            <w:gridSpan w:val="5"/>
          </w:tcPr>
          <w:p>
            <w:pPr>
              <w:spacing w:after="0"/>
              <w:rPr>
                <w:sz w:val="18"/>
                <w:szCs w:val="18"/>
                <w:color w:val="auto"/>
              </w:rPr>
            </w:pPr>
          </w:p>
        </w:tc>
        <w:tc>
          <w:tcPr>
            <w:tcW w:w="1060" w:type="dxa"/>
            <w:vAlign w:val="bottom"/>
          </w:tcPr>
          <w:p>
            <w:pPr>
              <w:jc w:val="center"/>
              <w:ind w:left="190"/>
              <w:spacing w:after="0"/>
              <w:rPr>
                <w:sz w:val="20"/>
                <w:szCs w:val="20"/>
                <w:color w:val="auto"/>
              </w:rPr>
            </w:pPr>
            <w:r>
              <w:rPr>
                <w:rFonts w:ascii="Arial" w:cs="Arial" w:eastAsia="Arial" w:hAnsi="Arial"/>
                <w:sz w:val="18"/>
                <w:szCs w:val="18"/>
                <w:color w:val="auto"/>
                <w:w w:val="99"/>
              </w:rPr>
              <w:t>168</w:t>
            </w:r>
          </w:p>
        </w:tc>
      </w:tr>
      <w:tr>
        <w:trPr>
          <w:trHeight w:val="210"/>
        </w:trPr>
        <w:tc>
          <w:tcPr>
            <w:tcW w:w="35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Notes to Consolidated Financial Statements</w:t>
            </w:r>
          </w:p>
        </w:tc>
        <w:tc>
          <w:tcPr>
            <w:tcW w:w="4320" w:type="dxa"/>
            <w:vAlign w:val="bottom"/>
            <w:gridSpan w:val="4"/>
          </w:tcPr>
          <w:p>
            <w:pPr>
              <w:spacing w:after="0"/>
              <w:rPr>
                <w:sz w:val="18"/>
                <w:szCs w:val="18"/>
                <w:color w:val="auto"/>
              </w:rPr>
            </w:pPr>
          </w:p>
        </w:tc>
        <w:tc>
          <w:tcPr>
            <w:tcW w:w="1060" w:type="dxa"/>
            <w:vAlign w:val="bottom"/>
          </w:tcPr>
          <w:p>
            <w:pPr>
              <w:jc w:val="center"/>
              <w:ind w:left="190"/>
              <w:spacing w:after="0"/>
              <w:rPr>
                <w:sz w:val="20"/>
                <w:szCs w:val="20"/>
                <w:color w:val="auto"/>
              </w:rPr>
            </w:pPr>
            <w:r>
              <w:rPr>
                <w:rFonts w:ascii="Arial" w:cs="Arial" w:eastAsia="Arial" w:hAnsi="Arial"/>
                <w:sz w:val="18"/>
                <w:szCs w:val="18"/>
                <w:color w:val="auto"/>
                <w:w w:val="99"/>
              </w:rPr>
              <w:t>169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right="2039" w:firstLine="1969"/>
        <w:spacing w:after="0" w:line="4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Century Therapeutics,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have audited the accompanying consolidated balance sheets of Century Therapeutics, Inc. (the Company) as of December 31, 2022 and 2021, the related consolidated statements of operations and comprehensive loss, changes in convertible preferred stock and stockholders' equity (deficit)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1"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2019.</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Philadelphia, Pennsylvania</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BALANCE SHEETS</w:t>
      </w:r>
    </w:p>
    <w:p>
      <w:pPr>
        <w:jc w:val="center"/>
        <w:ind w:right="19"/>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90805</wp:posOffset>
            </wp:positionV>
            <wp:extent cx="56489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3"/>
                <w:szCs w:val="13"/>
                <w:color w:val="auto"/>
                <w:w w:val="98"/>
              </w:rPr>
              <w:t>December 31, 2022</w:t>
            </w:r>
          </w:p>
        </w:tc>
        <w:tc>
          <w:tcPr>
            <w:tcW w:w="100" w:type="dxa"/>
            <w:vAlign w:val="bottom"/>
          </w:tcPr>
          <w:p>
            <w:pPr>
              <w:spacing w:after="0"/>
              <w:rPr>
                <w:sz w:val="13"/>
                <w:szCs w:val="13"/>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w w:val="98"/>
              </w:rPr>
              <w:t>December 31, 2021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Current assets</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tcPr>
          <w:p>
            <w:pPr>
              <w:ind w:left="100"/>
              <w:spacing w:after="0" w:line="135" w:lineRule="exact"/>
              <w:rPr>
                <w:sz w:val="20"/>
                <w:szCs w:val="20"/>
                <w:color w:val="auto"/>
              </w:rPr>
            </w:pPr>
            <w:r>
              <w:rPr>
                <w:rFonts w:ascii="Arial" w:cs="Arial" w:eastAsia="Arial" w:hAnsi="Arial"/>
                <w:sz w:val="13"/>
                <w:szCs w:val="13"/>
                <w:color w:val="auto"/>
              </w:rPr>
              <w:t>Cash and cash equivalents</w:t>
            </w:r>
          </w:p>
        </w:tc>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84,265</w:t>
            </w:r>
          </w:p>
        </w:tc>
        <w:tc>
          <w:tcPr>
            <w:tcW w:w="80" w:type="dxa"/>
            <w:vAlign w:val="bottom"/>
          </w:tcPr>
          <w:p>
            <w:pPr>
              <w:spacing w:after="0"/>
              <w:rPr>
                <w:sz w:val="11"/>
                <w:szCs w:val="11"/>
                <w:color w:val="auto"/>
              </w:rPr>
            </w:pPr>
          </w:p>
        </w:tc>
        <w:tc>
          <w:tcPr>
            <w:tcW w:w="24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56,445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Short-term investments</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231,233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166,434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tcPr>
          <w:p>
            <w:pPr>
              <w:ind w:left="100"/>
              <w:spacing w:after="0" w:line="135" w:lineRule="exact"/>
              <w:rPr>
                <w:sz w:val="20"/>
                <w:szCs w:val="20"/>
                <w:color w:val="auto"/>
              </w:rPr>
            </w:pPr>
            <w:r>
              <w:rPr>
                <w:rFonts w:ascii="Arial" w:cs="Arial" w:eastAsia="Arial" w:hAnsi="Arial"/>
                <w:sz w:val="13"/>
                <w:szCs w:val="13"/>
                <w:color w:val="auto"/>
              </w:rPr>
              <w:t>Escrow deposits, current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220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502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1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4,003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4,773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60" w:type="dxa"/>
            <w:vAlign w:val="bottom"/>
          </w:tcPr>
          <w:p>
            <w:pPr>
              <w:spacing w:after="0" w:line="129" w:lineRule="exact"/>
              <w:rPr>
                <w:sz w:val="20"/>
                <w:szCs w:val="20"/>
                <w:color w:val="auto"/>
              </w:rPr>
            </w:pPr>
            <w:r>
              <w:rPr>
                <w:rFonts w:ascii="Arial" w:cs="Arial" w:eastAsia="Arial" w:hAnsi="Arial"/>
                <w:sz w:val="13"/>
                <w:szCs w:val="13"/>
                <w:color w:val="auto"/>
              </w:rPr>
              <w:t>Total current assets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3"/>
                <w:szCs w:val="13"/>
                <w:color w:val="auto"/>
              </w:rPr>
              <w:t>319,721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3"/>
                <w:szCs w:val="13"/>
                <w:color w:val="auto"/>
              </w:rPr>
              <w:t>228,154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60" w:type="dxa"/>
            <w:vAlign w:val="bottom"/>
          </w:tcPr>
          <w:p>
            <w:pPr>
              <w:spacing w:after="0" w:line="135" w:lineRule="exact"/>
              <w:rPr>
                <w:sz w:val="20"/>
                <w:szCs w:val="20"/>
                <w:color w:val="auto"/>
              </w:rPr>
            </w:pPr>
            <w:r>
              <w:rPr>
                <w:rFonts w:ascii="Arial" w:cs="Arial" w:eastAsia="Arial" w:hAnsi="Arial"/>
                <w:sz w:val="13"/>
                <w:szCs w:val="13"/>
                <w:color w:val="auto"/>
              </w:rPr>
              <w:t>Property and equipment, net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82,785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57,967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Operating lease right-of-use assets</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28,945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tcPr>
          <w:p>
            <w:pPr>
              <w:spacing w:after="0" w:line="135" w:lineRule="exact"/>
              <w:rPr>
                <w:sz w:val="20"/>
                <w:szCs w:val="20"/>
                <w:color w:val="auto"/>
              </w:rPr>
            </w:pPr>
            <w:r>
              <w:rPr>
                <w:rFonts w:ascii="Arial" w:cs="Arial" w:eastAsia="Arial" w:hAnsi="Arial"/>
                <w:sz w:val="13"/>
                <w:szCs w:val="13"/>
                <w:color w:val="auto"/>
              </w:rPr>
              <w:t>Restricted cash</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1,979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1,717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Escrow deposits, non-current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tcPr>
          <w:p>
            <w:pPr>
              <w:spacing w:after="0" w:line="135" w:lineRule="exact"/>
              <w:rPr>
                <w:sz w:val="20"/>
                <w:szCs w:val="20"/>
                <w:color w:val="auto"/>
              </w:rPr>
            </w:pPr>
            <w:r>
              <w:rPr>
                <w:rFonts w:ascii="Arial" w:cs="Arial" w:eastAsia="Arial" w:hAnsi="Arial"/>
                <w:sz w:val="13"/>
                <w:szCs w:val="13"/>
                <w:color w:val="auto"/>
              </w:rPr>
              <w:t>Long-term investments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51,854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135,914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Security deposits</w:t>
            </w:r>
          </w:p>
        </w:tc>
        <w:tc>
          <w:tcPr>
            <w:tcW w:w="1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1,260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1,549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Total assets</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486,544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437,375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60" w:type="dxa"/>
            <w:vAlign w:val="bottom"/>
          </w:tcPr>
          <w:p>
            <w:pPr>
              <w:spacing w:after="0" w:line="135" w:lineRule="exact"/>
              <w:rPr>
                <w:sz w:val="20"/>
                <w:szCs w:val="20"/>
                <w:color w:val="auto"/>
              </w:rPr>
            </w:pPr>
            <w:r>
              <w:rPr>
                <w:rFonts w:ascii="Arial" w:cs="Arial" w:eastAsia="Arial" w:hAnsi="Arial"/>
                <w:sz w:val="13"/>
                <w:szCs w:val="13"/>
                <w:b w:val="1"/>
                <w:bCs w:val="1"/>
                <w:color w:val="auto"/>
              </w:rPr>
              <w:t>Liabilities, convertible preferred stock, and stockholders’ equity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60" w:type="dxa"/>
            <w:vAlign w:val="bottom"/>
          </w:tcPr>
          <w:p>
            <w:pPr>
              <w:spacing w:after="0" w:line="135" w:lineRule="exact"/>
              <w:rPr>
                <w:sz w:val="20"/>
                <w:szCs w:val="20"/>
                <w:color w:val="auto"/>
              </w:rPr>
            </w:pPr>
            <w:r>
              <w:rPr>
                <w:rFonts w:ascii="Arial" w:cs="Arial" w:eastAsia="Arial" w:hAnsi="Arial"/>
                <w:sz w:val="13"/>
                <w:szCs w:val="13"/>
                <w:color w:val="auto"/>
              </w:rPr>
              <w:t>Current liabilities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Accounts payable</w:t>
            </w: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5,454</w:t>
            </w:r>
          </w:p>
        </w:tc>
        <w:tc>
          <w:tcPr>
            <w:tcW w:w="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tcPr>
          <w:p>
            <w:pPr>
              <w:ind w:left="100"/>
              <w:spacing w:after="0" w:line="135" w:lineRule="exact"/>
              <w:rPr>
                <w:sz w:val="20"/>
                <w:szCs w:val="20"/>
                <w:color w:val="auto"/>
              </w:rPr>
            </w:pPr>
            <w:r>
              <w:rPr>
                <w:rFonts w:ascii="Arial" w:cs="Arial" w:eastAsia="Arial" w:hAnsi="Arial"/>
                <w:sz w:val="13"/>
                <w:szCs w:val="13"/>
                <w:color w:val="auto"/>
              </w:rPr>
              <w:t>Accrued expenses and other liabilities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9,841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6,040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Deposit liability</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tcPr>
          <w:p>
            <w:pPr>
              <w:ind w:left="100"/>
              <w:spacing w:after="0" w:line="135" w:lineRule="exact"/>
              <w:rPr>
                <w:sz w:val="20"/>
                <w:szCs w:val="20"/>
                <w:color w:val="auto"/>
              </w:rPr>
            </w:pPr>
            <w:r>
              <w:rPr>
                <w:rFonts w:ascii="Arial" w:cs="Arial" w:eastAsia="Arial" w:hAnsi="Arial"/>
                <w:sz w:val="13"/>
                <w:szCs w:val="13"/>
                <w:color w:val="auto"/>
              </w:rPr>
              <w:t>Long-term debt, current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6,502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1,039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Deferred revenue, current</w:t>
            </w:r>
          </w:p>
        </w:tc>
        <w:tc>
          <w:tcPr>
            <w:tcW w:w="1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7,154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60" w:type="dxa"/>
            <w:vAlign w:val="bottom"/>
          </w:tcPr>
          <w:p>
            <w:pPr>
              <w:spacing w:after="0" w:line="129" w:lineRule="exact"/>
              <w:rPr>
                <w:sz w:val="20"/>
                <w:szCs w:val="20"/>
                <w:color w:val="auto"/>
              </w:rPr>
            </w:pPr>
            <w:r>
              <w:rPr>
                <w:rFonts w:ascii="Arial" w:cs="Arial" w:eastAsia="Arial" w:hAnsi="Arial"/>
                <w:sz w:val="13"/>
                <w:szCs w:val="13"/>
                <w:color w:val="auto"/>
              </w:rPr>
              <w:t>Total current liabilities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29,817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15,655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60" w:type="dxa"/>
            <w:vAlign w:val="bottom"/>
          </w:tcPr>
          <w:p>
            <w:pPr>
              <w:spacing w:after="0" w:line="135" w:lineRule="exact"/>
              <w:rPr>
                <w:sz w:val="20"/>
                <w:szCs w:val="20"/>
                <w:color w:val="auto"/>
              </w:rPr>
            </w:pPr>
            <w:r>
              <w:rPr>
                <w:rFonts w:ascii="Arial" w:cs="Arial" w:eastAsia="Arial" w:hAnsi="Arial"/>
                <w:sz w:val="13"/>
                <w:szCs w:val="13"/>
                <w:color w:val="auto"/>
              </w:rPr>
              <w:t>Operating lease liability, long term</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38,698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14,559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Deposit liability, non-current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tcPr>
          <w:p>
            <w:pPr>
              <w:spacing w:after="0" w:line="135" w:lineRule="exact"/>
              <w:rPr>
                <w:sz w:val="20"/>
                <w:szCs w:val="20"/>
                <w:color w:val="auto"/>
              </w:rPr>
            </w:pPr>
            <w:r>
              <w:rPr>
                <w:rFonts w:ascii="Arial" w:cs="Arial" w:eastAsia="Arial" w:hAnsi="Arial"/>
                <w:sz w:val="13"/>
                <w:szCs w:val="13"/>
                <w:color w:val="auto"/>
              </w:rPr>
              <w:t>Deferred revenue, non-current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110,834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Long-term debt, net</w:t>
            </w:r>
          </w:p>
        </w:tc>
        <w:tc>
          <w:tcPr>
            <w:tcW w:w="1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3,739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8,903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1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liabilities</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183,806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41,137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Commitments and contingencies (Note 12)</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tcPr>
          <w:p>
            <w:pPr>
              <w:spacing w:after="0" w:line="135" w:lineRule="exact"/>
              <w:rPr>
                <w:sz w:val="20"/>
                <w:szCs w:val="20"/>
                <w:color w:val="auto"/>
              </w:rPr>
            </w:pPr>
            <w:r>
              <w:rPr>
                <w:rFonts w:ascii="Arial" w:cs="Arial" w:eastAsia="Arial" w:hAnsi="Arial"/>
                <w:sz w:val="13"/>
                <w:szCs w:val="13"/>
                <w:color w:val="auto"/>
              </w:rPr>
              <w:t>Stockholders' equity: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Preferred stock, $ 0.0001 par value, 10,000,000 shares authorized at December 31, 2022 and 2021, and 0</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shares issued and outstanding at December 31, 2022 and 2021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60" w:type="dxa"/>
            <w:vAlign w:val="bottom"/>
          </w:tcPr>
          <w:p>
            <w:pPr>
              <w:spacing w:after="0" w:line="117" w:lineRule="exact"/>
              <w:rPr>
                <w:sz w:val="20"/>
                <w:szCs w:val="20"/>
                <w:color w:val="auto"/>
              </w:rPr>
            </w:pPr>
            <w:r>
              <w:rPr>
                <w:rFonts w:ascii="Arial" w:cs="Arial" w:eastAsia="Arial" w:hAnsi="Arial"/>
                <w:sz w:val="13"/>
                <w:szCs w:val="13"/>
                <w:color w:val="auto"/>
              </w:rPr>
              <w:t>Common stock, $0.0001 par value, 300,000,000 shares authorized at December 31, 2022 and 2021;</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180" w:type="dxa"/>
            <w:vAlign w:val="bottom"/>
            <w:gridSpan w:val="2"/>
          </w:tcPr>
          <w:p>
            <w:pPr>
              <w:spacing w:after="0"/>
              <w:rPr>
                <w:sz w:val="20"/>
                <w:szCs w:val="20"/>
                <w:color w:val="auto"/>
              </w:rPr>
            </w:pPr>
            <w:r>
              <w:rPr>
                <w:rFonts w:ascii="Arial" w:cs="Arial" w:eastAsia="Arial" w:hAnsi="Arial"/>
                <w:sz w:val="13"/>
                <w:szCs w:val="13"/>
                <w:color w:val="auto"/>
              </w:rPr>
              <w:t>58,473,660 and 55,005,523 shares issued and outstanding at December 31, 2022 and 2021, respectively</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Additional paid-in capital</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824,292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785,049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tcPr>
          <w:p>
            <w:pPr>
              <w:spacing w:after="0" w:line="135" w:lineRule="exact"/>
              <w:rPr>
                <w:sz w:val="20"/>
                <w:szCs w:val="20"/>
                <w:color w:val="auto"/>
              </w:rPr>
            </w:pPr>
            <w:r>
              <w:rPr>
                <w:rFonts w:ascii="Arial" w:cs="Arial" w:eastAsia="Arial" w:hAnsi="Arial"/>
                <w:sz w:val="13"/>
                <w:szCs w:val="13"/>
                <w:color w:val="auto"/>
              </w:rPr>
              <w:t>Accumulated deficit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(519,098)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(388,166)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Accumulated other comprehensive loss</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(2,462)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6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Total stockholders’ equity</w:t>
            </w:r>
          </w:p>
        </w:tc>
        <w:tc>
          <w:tcPr>
            <w:tcW w:w="1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302,738</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396,238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liabilities and stockholders’ equity</w:t>
            </w:r>
          </w:p>
        </w:tc>
        <w:tc>
          <w:tcPr>
            <w:tcW w:w="3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0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486,544</w:t>
            </w:r>
          </w:p>
        </w:tc>
        <w:tc>
          <w:tcPr>
            <w:tcW w:w="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22"/>
              <w:spacing w:after="0" w:line="129" w:lineRule="exact"/>
              <w:rPr>
                <w:sz w:val="20"/>
                <w:szCs w:val="20"/>
                <w:color w:val="auto"/>
              </w:rPr>
            </w:pPr>
            <w:r>
              <w:rPr>
                <w:rFonts w:ascii="Arial" w:cs="Arial" w:eastAsia="Arial" w:hAnsi="Arial"/>
                <w:sz w:val="13"/>
                <w:szCs w:val="13"/>
                <w:b w:val="1"/>
                <w:bCs w:val="1"/>
                <w:color w:val="auto"/>
              </w:rPr>
              <w:t>$</w:t>
            </w:r>
          </w:p>
        </w:tc>
        <w:tc>
          <w:tcPr>
            <w:tcW w:w="10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437,375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0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For the Year Ended</w:t>
            </w:r>
          </w:p>
        </w:tc>
        <w:tc>
          <w:tcPr>
            <w:tcW w:w="2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 Year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2022</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5000" w:type="dxa"/>
            <w:vAlign w:val="bottom"/>
          </w:tcPr>
          <w:p>
            <w:pPr>
              <w:spacing w:after="0"/>
              <w:rPr>
                <w:sz w:val="20"/>
                <w:szCs w:val="20"/>
                <w:color w:val="auto"/>
              </w:rPr>
            </w:pPr>
            <w:r>
              <w:rPr>
                <w:rFonts w:ascii="Arial" w:cs="Arial" w:eastAsia="Arial" w:hAnsi="Arial"/>
                <w:sz w:val="18"/>
                <w:szCs w:val="18"/>
                <w:b w:val="1"/>
                <w:bCs w:val="1"/>
                <w:color w:val="auto"/>
              </w:rPr>
              <w:t>Collaboration revenue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5,199</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5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4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97,173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75,648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31,857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In-process research and development</w:t>
            </w:r>
          </w:p>
        </w:tc>
        <w:tc>
          <w:tcPr>
            <w:tcW w:w="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4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139,030</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94,883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from operations</w:t>
            </w:r>
          </w:p>
        </w:tc>
        <w:tc>
          <w:tcPr>
            <w:tcW w:w="4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(133,831)</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(94,883)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(1,430)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net</w:t>
            </w:r>
          </w:p>
        </w:tc>
        <w:tc>
          <w:tcPr>
            <w:tcW w:w="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4,420</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Total other income (expense)</w:t>
            </w:r>
          </w:p>
        </w:tc>
        <w:tc>
          <w:tcPr>
            <w:tcW w:w="4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2,990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b w:val="1"/>
                <w:bCs w:val="1"/>
                <w:color w:val="auto"/>
              </w:rPr>
              <w:t>Loss before provision for income taxes</w:t>
            </w:r>
          </w:p>
        </w:tc>
        <w:tc>
          <w:tcPr>
            <w:tcW w:w="460" w:type="dxa"/>
            <w:vAlign w:val="bottom"/>
          </w:tcPr>
          <w:p>
            <w:pPr>
              <w:spacing w:after="0"/>
              <w:rPr>
                <w:sz w:val="17"/>
                <w:szCs w:val="17"/>
                <w:color w:val="auto"/>
              </w:rPr>
            </w:pPr>
          </w:p>
        </w:tc>
        <w:tc>
          <w:tcPr>
            <w:tcW w:w="1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(130,841)</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(95,781)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4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w w:val="79"/>
              </w:rPr>
              <w:t>$</w:t>
            </w: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(130,932)</w:t>
            </w:r>
          </w:p>
        </w:tc>
        <w:tc>
          <w:tcPr>
            <w:tcW w:w="1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(95,824)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00" w:type="dxa"/>
            <w:vAlign w:val="bottom"/>
          </w:tcPr>
          <w:p>
            <w:pPr>
              <w:spacing w:after="0" w:line="183" w:lineRule="exact"/>
              <w:rPr>
                <w:sz w:val="20"/>
                <w:szCs w:val="20"/>
                <w:color w:val="auto"/>
              </w:rPr>
            </w:pPr>
            <w:r>
              <w:rPr>
                <w:rFonts w:ascii="Arial" w:cs="Arial" w:eastAsia="Arial" w:hAnsi="Arial"/>
                <w:sz w:val="18"/>
                <w:szCs w:val="18"/>
                <w:color w:val="auto"/>
              </w:rPr>
              <w:t>Net loss per common share</w:t>
            </w:r>
          </w:p>
        </w:tc>
        <w:tc>
          <w:tcPr>
            <w:tcW w:w="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000" w:type="dxa"/>
            <w:vAlign w:val="bottom"/>
          </w:tcPr>
          <w:p>
            <w:pPr>
              <w:spacing w:after="0"/>
              <w:rPr>
                <w:sz w:val="20"/>
                <w:szCs w:val="20"/>
                <w:color w:val="auto"/>
              </w:rPr>
            </w:pPr>
            <w:r>
              <w:rPr>
                <w:rFonts w:ascii="Arial" w:cs="Arial" w:eastAsia="Arial" w:hAnsi="Arial"/>
                <w:sz w:val="18"/>
                <w:szCs w:val="18"/>
                <w:color w:val="auto"/>
              </w:rPr>
              <w:t>Basic and Diluted</w:t>
            </w:r>
          </w:p>
        </w:tc>
        <w:tc>
          <w:tcPr>
            <w:tcW w:w="46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0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 average common shares outstanding</w:t>
            </w:r>
          </w:p>
        </w:tc>
        <w:tc>
          <w:tcPr>
            <w:tcW w:w="4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57,755,842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32,392,554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Net loss</w:t>
            </w:r>
          </w:p>
        </w:tc>
        <w:tc>
          <w:tcPr>
            <w:tcW w:w="4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(130,932)</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(95,824)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00"/>
              <w:spacing w:after="0" w:line="202" w:lineRule="exact"/>
              <w:rPr>
                <w:sz w:val="20"/>
                <w:szCs w:val="20"/>
                <w:color w:val="auto"/>
              </w:rPr>
            </w:pPr>
            <w:r>
              <w:rPr>
                <w:rFonts w:ascii="Arial" w:cs="Arial" w:eastAsia="Arial" w:hAnsi="Arial"/>
                <w:sz w:val="18"/>
                <w:szCs w:val="18"/>
                <w:color w:val="auto"/>
              </w:rPr>
              <w:t>Unrealized loss on investments</w:t>
            </w:r>
          </w:p>
        </w:tc>
        <w:tc>
          <w:tcPr>
            <w:tcW w:w="460" w:type="dxa"/>
            <w:vAlign w:val="bottom"/>
          </w:tcPr>
          <w:p>
            <w:pPr>
              <w:spacing w:after="0"/>
              <w:rPr>
                <w:sz w:val="17"/>
                <w:szCs w:val="17"/>
                <w:color w:val="auto"/>
              </w:rPr>
            </w:pPr>
          </w:p>
        </w:tc>
        <w:tc>
          <w:tcPr>
            <w:tcW w:w="1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(1,786)</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Foreign currency translation</w:t>
            </w:r>
          </w:p>
        </w:tc>
        <w:tc>
          <w:tcPr>
            <w:tcW w:w="4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Comprehensive loss</w:t>
            </w:r>
          </w:p>
        </w:tc>
        <w:tc>
          <w:tcPr>
            <w:tcW w:w="4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(132,744)</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(96,471)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CENTURY THERAPEUTICS, INC.</w:t>
      </w:r>
    </w:p>
    <w:p>
      <w:pPr>
        <w:spacing w:after="0" w:line="12"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b w:val="1"/>
          <w:bCs w:val="1"/>
          <w:color w:val="auto"/>
        </w:rPr>
        <w:t>CONSOLIDATED STATEMENTS OF CHANGES IN CONVERTIBLE PREFERRED STOCK AND STOCKHOLDERS’ EQUITY (DEFICIT)</w:t>
      </w:r>
    </w:p>
    <w:p>
      <w:pPr>
        <w:spacing w:after="0" w:line="182"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(In thousands, except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1"/>
                <w:szCs w:val="11"/>
                <w:color w:val="auto"/>
              </w:rPr>
              <w:t>Series A</w:t>
            </w:r>
          </w:p>
        </w:tc>
        <w:tc>
          <w:tcPr>
            <w:tcW w:w="6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w w:val="96"/>
              </w:rPr>
              <w:t>Series B</w:t>
            </w:r>
          </w:p>
        </w:tc>
        <w:tc>
          <w:tcPr>
            <w:tcW w:w="6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60" w:type="dxa"/>
            <w:vAlign w:val="bottom"/>
            <w:tcBorders>
              <w:top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w w:val="99"/>
              </w:rPr>
              <w:t>Series C</w:t>
            </w:r>
          </w:p>
        </w:tc>
        <w:tc>
          <w:tcPr>
            <w:tcW w:w="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Accumulated</w:t>
            </w: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gridSpan w:val="5"/>
          </w:tcPr>
          <w:p>
            <w:pPr>
              <w:jc w:val="right"/>
              <w:ind w:right="100"/>
              <w:spacing w:after="0" w:line="122" w:lineRule="exact"/>
              <w:rPr>
                <w:sz w:val="20"/>
                <w:szCs w:val="20"/>
                <w:color w:val="auto"/>
              </w:rPr>
            </w:pPr>
            <w:r>
              <w:rPr>
                <w:rFonts w:ascii="Arial" w:cs="Arial" w:eastAsia="Arial" w:hAnsi="Arial"/>
                <w:sz w:val="11"/>
                <w:szCs w:val="11"/>
                <w:color w:val="auto"/>
              </w:rPr>
              <w:t>Convertible</w:t>
            </w:r>
          </w:p>
        </w:tc>
        <w:tc>
          <w:tcPr>
            <w:tcW w:w="620" w:type="dxa"/>
            <w:vAlign w:val="bottom"/>
          </w:tcPr>
          <w:p>
            <w:pPr>
              <w:spacing w:after="0"/>
              <w:rPr>
                <w:sz w:val="10"/>
                <w:szCs w:val="10"/>
                <w:color w:val="auto"/>
              </w:rPr>
            </w:pPr>
          </w:p>
        </w:tc>
        <w:tc>
          <w:tcPr>
            <w:tcW w:w="640" w:type="dxa"/>
            <w:vAlign w:val="bottom"/>
            <w:gridSpan w:val="4"/>
          </w:tcPr>
          <w:p>
            <w:pPr>
              <w:jc w:val="right"/>
              <w:ind w:right="100"/>
              <w:spacing w:after="0" w:line="122" w:lineRule="exact"/>
              <w:rPr>
                <w:sz w:val="20"/>
                <w:szCs w:val="20"/>
                <w:color w:val="auto"/>
              </w:rPr>
            </w:pPr>
            <w:r>
              <w:rPr>
                <w:rFonts w:ascii="Arial" w:cs="Arial" w:eastAsia="Arial" w:hAnsi="Arial"/>
                <w:sz w:val="11"/>
                <w:szCs w:val="11"/>
                <w:color w:val="auto"/>
                <w:w w:val="93"/>
              </w:rPr>
              <w:t>Convertible</w:t>
            </w:r>
          </w:p>
        </w:tc>
        <w:tc>
          <w:tcPr>
            <w:tcW w:w="620" w:type="dxa"/>
            <w:vAlign w:val="bottom"/>
          </w:tcPr>
          <w:p>
            <w:pPr>
              <w:spacing w:after="0"/>
              <w:rPr>
                <w:sz w:val="10"/>
                <w:szCs w:val="10"/>
                <w:color w:val="auto"/>
              </w:rPr>
            </w:pPr>
          </w:p>
        </w:tc>
        <w:tc>
          <w:tcPr>
            <w:tcW w:w="680" w:type="dxa"/>
            <w:vAlign w:val="bottom"/>
            <w:tcBorders>
              <w:right w:val="single" w:sz="8" w:color="auto"/>
            </w:tcBorders>
            <w:gridSpan w:val="3"/>
          </w:tcPr>
          <w:p>
            <w:pPr>
              <w:jc w:val="right"/>
              <w:ind w:right="66"/>
              <w:spacing w:after="0" w:line="122" w:lineRule="exact"/>
              <w:rPr>
                <w:sz w:val="20"/>
                <w:szCs w:val="20"/>
                <w:color w:val="auto"/>
              </w:rPr>
            </w:pPr>
            <w:r>
              <w:rPr>
                <w:rFonts w:ascii="Arial" w:cs="Arial" w:eastAsia="Arial" w:hAnsi="Arial"/>
                <w:sz w:val="11"/>
                <w:szCs w:val="11"/>
                <w:color w:val="auto"/>
                <w:w w:val="96"/>
              </w:rPr>
              <w:t>Convertible</w:t>
            </w: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Arial" w:cs="Arial" w:eastAsia="Arial" w:hAnsi="Arial"/>
                <w:sz w:val="11"/>
                <w:szCs w:val="11"/>
                <w:color w:val="auto"/>
                <w:w w:val="95"/>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Other</w:t>
            </w:r>
          </w:p>
        </w:tc>
        <w:tc>
          <w:tcPr>
            <w:tcW w:w="14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color w:val="auto"/>
              </w:rPr>
              <w:t>Preferred Stock</w:t>
            </w:r>
          </w:p>
        </w:tc>
        <w:tc>
          <w:tcPr>
            <w:tcW w:w="60" w:type="dxa"/>
            <w:vAlign w:val="bottom"/>
          </w:tcPr>
          <w:p>
            <w:pPr>
              <w:spacing w:after="0"/>
              <w:rPr>
                <w:sz w:val="11"/>
                <w:szCs w:val="11"/>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color w:val="auto"/>
              </w:rPr>
              <w:t>Preferred Stock</w:t>
            </w:r>
          </w:p>
        </w:tc>
        <w:tc>
          <w:tcPr>
            <w:tcW w:w="60" w:type="dxa"/>
            <w:vAlign w:val="bottom"/>
          </w:tcPr>
          <w:p>
            <w:pPr>
              <w:spacing w:after="0"/>
              <w:rPr>
                <w:sz w:val="11"/>
                <w:szCs w:val="11"/>
                <w:color w:val="auto"/>
              </w:rPr>
            </w:pPr>
          </w:p>
        </w:tc>
        <w:tc>
          <w:tcPr>
            <w:tcW w:w="1300" w:type="dxa"/>
            <w:vAlign w:val="bottom"/>
            <w:tcBorders>
              <w:bottom w:val="single" w:sz="8" w:color="auto"/>
              <w:right w:val="single" w:sz="8" w:color="auto"/>
            </w:tcBorders>
            <w:gridSpan w:val="4"/>
          </w:tcPr>
          <w:p>
            <w:pPr>
              <w:jc w:val="right"/>
              <w:ind w:right="66"/>
              <w:spacing w:after="0"/>
              <w:rPr>
                <w:sz w:val="20"/>
                <w:szCs w:val="20"/>
                <w:color w:val="auto"/>
              </w:rPr>
            </w:pPr>
            <w:r>
              <w:rPr>
                <w:rFonts w:ascii="Arial" w:cs="Arial" w:eastAsia="Arial" w:hAnsi="Arial"/>
                <w:sz w:val="11"/>
                <w:szCs w:val="11"/>
                <w:color w:val="auto"/>
              </w:rPr>
              <w:t>Preferred Stock</w:t>
            </w:r>
          </w:p>
        </w:tc>
        <w:tc>
          <w:tcPr>
            <w:tcW w:w="40" w:type="dxa"/>
            <w:vAlign w:val="bottom"/>
          </w:tcPr>
          <w:p>
            <w:pPr>
              <w:spacing w:after="0"/>
              <w:rPr>
                <w:sz w:val="11"/>
                <w:szCs w:val="11"/>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color w:val="auto"/>
              </w:rPr>
              <w:t>Common Stock</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Paid-in</w:t>
            </w:r>
          </w:p>
        </w:tc>
        <w:tc>
          <w:tcPr>
            <w:tcW w:w="4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Subscription</w:t>
            </w:r>
          </w:p>
        </w:tc>
        <w:tc>
          <w:tcPr>
            <w:tcW w:w="720" w:type="dxa"/>
            <w:vAlign w:val="bottom"/>
            <w:gridSpan w:val="3"/>
          </w:tcPr>
          <w:p>
            <w:pPr>
              <w:ind w:left="60"/>
              <w:spacing w:after="0"/>
              <w:rPr>
                <w:sz w:val="20"/>
                <w:szCs w:val="20"/>
                <w:color w:val="auto"/>
              </w:rPr>
            </w:pPr>
            <w:r>
              <w:rPr>
                <w:rFonts w:ascii="Arial" w:cs="Arial" w:eastAsia="Arial" w:hAnsi="Arial"/>
                <w:sz w:val="11"/>
                <w:szCs w:val="11"/>
                <w:color w:val="auto"/>
              </w:rPr>
              <w:t>Accumulated</w:t>
            </w:r>
          </w:p>
        </w:tc>
        <w:tc>
          <w:tcPr>
            <w:tcW w:w="900" w:type="dxa"/>
            <w:vAlign w:val="bottom"/>
            <w:gridSpan w:val="4"/>
          </w:tcPr>
          <w:p>
            <w:pPr>
              <w:ind w:left="40"/>
              <w:spacing w:after="0"/>
              <w:rPr>
                <w:sz w:val="20"/>
                <w:szCs w:val="20"/>
                <w:color w:val="auto"/>
              </w:rPr>
            </w:pPr>
            <w:r>
              <w:rPr>
                <w:rFonts w:ascii="Arial" w:cs="Arial" w:eastAsia="Arial" w:hAnsi="Arial"/>
                <w:sz w:val="11"/>
                <w:szCs w:val="11"/>
                <w:color w:val="auto"/>
              </w:rPr>
              <w:t>Comprehensive</w:t>
            </w:r>
          </w:p>
        </w:tc>
        <w:tc>
          <w:tcPr>
            <w:tcW w:w="700" w:type="dxa"/>
            <w:vAlign w:val="bottom"/>
            <w:gridSpan w:val="2"/>
          </w:tcPr>
          <w:p>
            <w:pPr>
              <w:spacing w:after="0"/>
              <w:rPr>
                <w:sz w:val="20"/>
                <w:szCs w:val="20"/>
                <w:color w:val="auto"/>
              </w:rPr>
            </w:pPr>
            <w:r>
              <w:rPr>
                <w:rFonts w:ascii="Arial" w:cs="Arial" w:eastAsia="Arial" w:hAnsi="Arial"/>
                <w:sz w:val="11"/>
                <w:szCs w:val="11"/>
                <w:color w:val="auto"/>
              </w:rPr>
              <w:t>Stockholders’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Shares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Amount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Shares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Amount</w:t>
            </w:r>
          </w:p>
        </w:tc>
        <w:tc>
          <w:tcPr>
            <w:tcW w:w="620" w:type="dxa"/>
            <w:vAlign w:val="bottom"/>
          </w:tcPr>
          <w:p>
            <w:pPr>
              <w:jc w:val="right"/>
              <w:spacing w:after="0"/>
              <w:rPr>
                <w:sz w:val="20"/>
                <w:szCs w:val="20"/>
                <w:color w:val="auto"/>
              </w:rPr>
            </w:pPr>
            <w:r>
              <w:rPr>
                <w:rFonts w:ascii="Arial" w:cs="Arial" w:eastAsia="Arial" w:hAnsi="Arial"/>
                <w:sz w:val="11"/>
                <w:szCs w:val="11"/>
                <w:color w:val="auto"/>
              </w:rPr>
              <w:t>Shares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Amount</w:t>
            </w:r>
          </w:p>
        </w:tc>
        <w:tc>
          <w:tcPr>
            <w:tcW w:w="4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Shares</w:t>
            </w:r>
          </w:p>
        </w:tc>
        <w:tc>
          <w:tcPr>
            <w:tcW w:w="4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color w:val="auto"/>
              </w:rPr>
              <w:t>Amount</w:t>
            </w:r>
          </w:p>
        </w:tc>
        <w:tc>
          <w:tcPr>
            <w:tcW w:w="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w w:val="99"/>
              </w:rPr>
              <w:t>Receivable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Deficit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Loss</w:t>
            </w:r>
          </w:p>
        </w:tc>
        <w:tc>
          <w:tcPr>
            <w:tcW w:w="14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Equity</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40" w:type="dxa"/>
            <w:vAlign w:val="bottom"/>
            <w:tcBorders>
              <w:top w:val="single" w:sz="8" w:color="CCEEFF"/>
            </w:tcBorders>
            <w:shd w:val="clear" w:color="auto" w:fill="CCEEFF"/>
          </w:tcPr>
          <w:p>
            <w:pPr>
              <w:spacing w:after="0" w:line="89" w:lineRule="exact"/>
              <w:rPr>
                <w:sz w:val="20"/>
                <w:szCs w:val="20"/>
                <w:color w:val="auto"/>
              </w:rPr>
            </w:pPr>
            <w:r>
              <w:rPr>
                <w:rFonts w:ascii="Arial" w:cs="Arial" w:eastAsia="Arial" w:hAnsi="Arial"/>
                <w:sz w:val="10"/>
                <w:szCs w:val="10"/>
                <w:b w:val="1"/>
                <w:bCs w:val="1"/>
                <w:color w:val="auto"/>
              </w:rPr>
              <w:t>Balance,</w:t>
            </w:r>
          </w:p>
        </w:tc>
        <w:tc>
          <w:tcPr>
            <w:tcW w:w="6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December 31, 2020</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8"/>
              </w:rPr>
              <w:t>35,000,000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34,922</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8"/>
              </w:rPr>
              <w:t>26,143,790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144,839</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7,481,861</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$ 217,832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(31,900)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(292,342)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(106,412)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line="109" w:lineRule="exact"/>
              <w:rPr>
                <w:sz w:val="20"/>
                <w:szCs w:val="20"/>
                <w:color w:val="auto"/>
              </w:rPr>
            </w:pPr>
            <w:r>
              <w:rPr>
                <w:rFonts w:ascii="Arial" w:cs="Arial" w:eastAsia="Arial" w:hAnsi="Arial"/>
                <w:sz w:val="11"/>
                <w:szCs w:val="11"/>
                <w:color w:val="auto"/>
              </w:rPr>
              <w:t>Receipt of</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060" w:type="dxa"/>
            <w:vAlign w:val="bottom"/>
            <w:gridSpan w:val="2"/>
          </w:tcPr>
          <w:p>
            <w:pPr>
              <w:spacing w:after="0" w:line="122" w:lineRule="exact"/>
              <w:rPr>
                <w:sz w:val="20"/>
                <w:szCs w:val="20"/>
                <w:color w:val="auto"/>
              </w:rPr>
            </w:pPr>
            <w:r>
              <w:rPr>
                <w:rFonts w:ascii="Arial" w:cs="Arial" w:eastAsia="Arial" w:hAnsi="Arial"/>
                <w:sz w:val="11"/>
                <w:szCs w:val="11"/>
                <w:color w:val="auto"/>
              </w:rPr>
              <w:t>subscription</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60" w:type="dxa"/>
            <w:vAlign w:val="bottom"/>
            <w:gridSpan w:val="2"/>
          </w:tcPr>
          <w:p>
            <w:pPr>
              <w:spacing w:after="0"/>
              <w:rPr>
                <w:sz w:val="20"/>
                <w:szCs w:val="20"/>
                <w:color w:val="auto"/>
              </w:rPr>
            </w:pPr>
            <w:r>
              <w:rPr>
                <w:rFonts w:ascii="Arial" w:cs="Arial" w:eastAsia="Arial" w:hAnsi="Arial"/>
                <w:sz w:val="11"/>
                <w:szCs w:val="11"/>
                <w:color w:val="auto"/>
              </w:rPr>
              <w:t>receivable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31,900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31,900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 Series</w:t>
            </w: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 preferred stock,</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1"/>
                <w:szCs w:val="11"/>
                <w:color w:val="auto"/>
              </w:rPr>
              <w:t>net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24,721,999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159,628</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line="109" w:lineRule="exact"/>
              <w:rPr>
                <w:sz w:val="20"/>
                <w:szCs w:val="20"/>
                <w:color w:val="auto"/>
              </w:rPr>
            </w:pPr>
            <w:r>
              <w:rPr>
                <w:rFonts w:ascii="Arial" w:cs="Arial" w:eastAsia="Arial" w:hAnsi="Arial"/>
                <w:sz w:val="11"/>
                <w:szCs w:val="11"/>
                <w:color w:val="auto"/>
              </w:rPr>
              <w:t>Net assets</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60" w:type="dxa"/>
            <w:vAlign w:val="bottom"/>
            <w:gridSpan w:val="2"/>
          </w:tcPr>
          <w:p>
            <w:pPr>
              <w:spacing w:after="0" w:line="122" w:lineRule="exact"/>
              <w:rPr>
                <w:sz w:val="20"/>
                <w:szCs w:val="20"/>
                <w:color w:val="auto"/>
              </w:rPr>
            </w:pPr>
            <w:r>
              <w:rPr>
                <w:rFonts w:ascii="Arial" w:cs="Arial" w:eastAsia="Arial" w:hAnsi="Arial"/>
                <w:sz w:val="11"/>
                <w:szCs w:val="11"/>
                <w:color w:val="auto"/>
              </w:rPr>
              <w:t>contributed as result</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60" w:type="dxa"/>
            <w:vAlign w:val="bottom"/>
            <w:gridSpan w:val="2"/>
          </w:tcPr>
          <w:p>
            <w:pPr>
              <w:spacing w:after="0"/>
              <w:rPr>
                <w:sz w:val="20"/>
                <w:szCs w:val="20"/>
                <w:color w:val="auto"/>
              </w:rPr>
            </w:pPr>
            <w:r>
              <w:rPr>
                <w:rFonts w:ascii="Arial" w:cs="Arial" w:eastAsia="Arial" w:hAnsi="Arial"/>
                <w:sz w:val="11"/>
                <w:szCs w:val="11"/>
                <w:color w:val="auto"/>
              </w:rPr>
              <w:t>of merger</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2"/>
          </w:tcPr>
          <w:p>
            <w:pPr>
              <w:ind w:left="100"/>
              <w:spacing w:after="0"/>
              <w:rPr>
                <w:sz w:val="20"/>
                <w:szCs w:val="20"/>
                <w:color w:val="auto"/>
              </w:rPr>
            </w:pPr>
            <w:r>
              <w:rPr>
                <w:rFonts w:ascii="Arial" w:cs="Arial" w:eastAsia="Arial" w:hAnsi="Arial"/>
                <w:sz w:val="11"/>
                <w:szCs w:val="11"/>
                <w:color w:val="auto"/>
              </w:rPr>
              <w:t>— —</w:t>
            </w:r>
          </w:p>
        </w:tc>
        <w:tc>
          <w:tcPr>
            <w:tcW w:w="560" w:type="dxa"/>
            <w:vAlign w:val="bottom"/>
            <w:gridSpan w:val="2"/>
          </w:tcPr>
          <w:p>
            <w:pPr>
              <w:jc w:val="right"/>
              <w:ind w:right="6"/>
              <w:spacing w:after="0"/>
              <w:rPr>
                <w:sz w:val="20"/>
                <w:szCs w:val="20"/>
                <w:color w:val="auto"/>
              </w:rPr>
            </w:pPr>
            <w:r>
              <w:rPr>
                <w:rFonts w:ascii="Arial" w:cs="Arial" w:eastAsia="Arial" w:hAnsi="Arial"/>
                <w:sz w:val="11"/>
                <w:szCs w:val="11"/>
                <w:color w:val="auto"/>
              </w:rPr>
              <w:t>1,061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1,061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Conversion of</w:t>
            </w: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convertible</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preferred stock</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upon initial public</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1"/>
                <w:szCs w:val="11"/>
                <w:color w:val="auto"/>
              </w:rPr>
              <w:t>offering</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2"/>
              </w:rPr>
              <w:t>(35,000,000)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(34,922)</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2"/>
              </w:rPr>
              <w:t>(26,143,790)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(144,839)</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6"/>
              </w:rPr>
              <w:t>(24,721,999)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(159,628)</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4"/>
              </w:rPr>
              <w:t>34,126,528</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339,385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339,388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line="109" w:lineRule="exact"/>
              <w:rPr>
                <w:sz w:val="20"/>
                <w:szCs w:val="20"/>
                <w:color w:val="auto"/>
              </w:rPr>
            </w:pPr>
            <w:r>
              <w:rPr>
                <w:rFonts w:ascii="Arial" w:cs="Arial" w:eastAsia="Arial" w:hAnsi="Arial"/>
                <w:sz w:val="11"/>
                <w:szCs w:val="11"/>
                <w:color w:val="auto"/>
              </w:rPr>
              <w:t>Issuance of</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060" w:type="dxa"/>
            <w:vAlign w:val="bottom"/>
            <w:gridSpan w:val="2"/>
          </w:tcPr>
          <w:p>
            <w:pPr>
              <w:spacing w:after="0" w:line="122" w:lineRule="exact"/>
              <w:rPr>
                <w:sz w:val="20"/>
                <w:szCs w:val="20"/>
                <w:color w:val="auto"/>
              </w:rPr>
            </w:pPr>
            <w:r>
              <w:rPr>
                <w:rFonts w:ascii="Arial" w:cs="Arial" w:eastAsia="Arial" w:hAnsi="Arial"/>
                <w:sz w:val="11"/>
                <w:szCs w:val="11"/>
                <w:color w:val="auto"/>
              </w:rPr>
              <w:t>common stock upon</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gridSpan w:val="2"/>
          </w:tcPr>
          <w:p>
            <w:pPr>
              <w:spacing w:after="0" w:line="122" w:lineRule="exact"/>
              <w:rPr>
                <w:sz w:val="20"/>
                <w:szCs w:val="20"/>
                <w:color w:val="auto"/>
              </w:rPr>
            </w:pPr>
            <w:r>
              <w:rPr>
                <w:rFonts w:ascii="Arial" w:cs="Arial" w:eastAsia="Arial" w:hAnsi="Arial"/>
                <w:sz w:val="11"/>
                <w:szCs w:val="11"/>
                <w:color w:val="auto"/>
              </w:rPr>
              <w:t>initial public offering,</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gridSpan w:val="2"/>
          </w:tcPr>
          <w:p>
            <w:pPr>
              <w:spacing w:after="0" w:line="122" w:lineRule="exact"/>
              <w:rPr>
                <w:sz w:val="20"/>
                <w:szCs w:val="20"/>
                <w:color w:val="auto"/>
              </w:rPr>
            </w:pPr>
            <w:r>
              <w:rPr>
                <w:rFonts w:ascii="Arial" w:cs="Arial" w:eastAsia="Arial" w:hAnsi="Arial"/>
                <w:sz w:val="11"/>
                <w:szCs w:val="11"/>
                <w:color w:val="auto"/>
              </w:rPr>
              <w:t>net of underwriting</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gridSpan w:val="2"/>
          </w:tcPr>
          <w:p>
            <w:pPr>
              <w:spacing w:after="0" w:line="122" w:lineRule="exact"/>
              <w:rPr>
                <w:sz w:val="20"/>
                <w:szCs w:val="20"/>
                <w:color w:val="auto"/>
              </w:rPr>
            </w:pPr>
            <w:r>
              <w:rPr>
                <w:rFonts w:ascii="Arial" w:cs="Arial" w:eastAsia="Arial" w:hAnsi="Arial"/>
                <w:sz w:val="11"/>
                <w:szCs w:val="11"/>
                <w:color w:val="auto"/>
              </w:rPr>
              <w:t>discounts and</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60" w:type="dxa"/>
            <w:vAlign w:val="bottom"/>
            <w:gridSpan w:val="2"/>
          </w:tcPr>
          <w:p>
            <w:pPr>
              <w:spacing w:after="0" w:line="122" w:lineRule="exact"/>
              <w:rPr>
                <w:sz w:val="20"/>
                <w:szCs w:val="20"/>
                <w:color w:val="auto"/>
              </w:rPr>
            </w:pPr>
            <w:r>
              <w:rPr>
                <w:rFonts w:ascii="Arial" w:cs="Arial" w:eastAsia="Arial" w:hAnsi="Arial"/>
                <w:sz w:val="11"/>
                <w:szCs w:val="11"/>
                <w:color w:val="auto"/>
              </w:rPr>
              <w:t>commissions and</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60" w:type="dxa"/>
            <w:vAlign w:val="bottom"/>
            <w:gridSpan w:val="2"/>
          </w:tcPr>
          <w:p>
            <w:pPr>
              <w:spacing w:after="0"/>
              <w:rPr>
                <w:sz w:val="20"/>
                <w:szCs w:val="20"/>
                <w:color w:val="auto"/>
              </w:rPr>
            </w:pPr>
            <w:r>
              <w:rPr>
                <w:rFonts w:ascii="Arial" w:cs="Arial" w:eastAsia="Arial" w:hAnsi="Arial"/>
                <w:sz w:val="11"/>
                <w:szCs w:val="11"/>
                <w:color w:val="auto"/>
              </w:rPr>
              <w:t>other issuance cost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w w:val="94"/>
              </w:rPr>
              <w:t>12,132,500</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560" w:type="dxa"/>
            <w:vAlign w:val="bottom"/>
            <w:gridSpan w:val="2"/>
          </w:tcPr>
          <w:p>
            <w:pPr>
              <w:jc w:val="right"/>
              <w:ind w:right="6"/>
              <w:spacing w:after="0"/>
              <w:rPr>
                <w:sz w:val="20"/>
                <w:szCs w:val="20"/>
                <w:color w:val="auto"/>
              </w:rPr>
            </w:pPr>
            <w:r>
              <w:rPr>
                <w:rFonts w:ascii="Arial" w:cs="Arial" w:eastAsia="Arial" w:hAnsi="Arial"/>
                <w:sz w:val="11"/>
                <w:szCs w:val="11"/>
                <w:color w:val="auto"/>
              </w:rPr>
              <w:t>221,401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221,402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w:t>
            </w: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common stock upon</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the exercise of stock</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1"/>
                <w:szCs w:val="11"/>
                <w:color w:val="auto"/>
              </w:rPr>
              <w:t>options</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199,696</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213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line="109" w:lineRule="exact"/>
              <w:rPr>
                <w:sz w:val="20"/>
                <w:szCs w:val="20"/>
                <w:color w:val="auto"/>
              </w:rPr>
            </w:pPr>
            <w:r>
              <w:rPr>
                <w:rFonts w:ascii="Arial" w:cs="Arial" w:eastAsia="Arial" w:hAnsi="Arial"/>
                <w:sz w:val="11"/>
                <w:szCs w:val="11"/>
                <w:color w:val="auto"/>
              </w:rPr>
              <w:t>Vesting of restricted</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60" w:type="dxa"/>
            <w:vAlign w:val="bottom"/>
            <w:gridSpan w:val="2"/>
          </w:tcPr>
          <w:p>
            <w:pPr>
              <w:spacing w:after="0"/>
              <w:rPr>
                <w:sz w:val="20"/>
                <w:szCs w:val="20"/>
                <w:color w:val="auto"/>
              </w:rPr>
            </w:pPr>
            <w:r>
              <w:rPr>
                <w:rFonts w:ascii="Arial" w:cs="Arial" w:eastAsia="Arial" w:hAnsi="Arial"/>
                <w:sz w:val="11"/>
                <w:szCs w:val="11"/>
                <w:color w:val="auto"/>
              </w:rPr>
              <w:t>stock</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566,033</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Vesting of early</w:t>
            </w: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exercised stock</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1"/>
                <w:szCs w:val="11"/>
                <w:color w:val="auto"/>
              </w:rPr>
              <w:t>options</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498,905</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426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line="109" w:lineRule="exact"/>
              <w:rPr>
                <w:sz w:val="20"/>
                <w:szCs w:val="20"/>
                <w:color w:val="auto"/>
              </w:rPr>
            </w:pPr>
            <w:r>
              <w:rPr>
                <w:rFonts w:ascii="Arial" w:cs="Arial" w:eastAsia="Arial" w:hAnsi="Arial"/>
                <w:sz w:val="11"/>
                <w:szCs w:val="11"/>
                <w:color w:val="auto"/>
              </w:rPr>
              <w:t>Warrants granted</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60" w:type="dxa"/>
            <w:vAlign w:val="bottom"/>
            <w:gridSpan w:val="2"/>
          </w:tcPr>
          <w:p>
            <w:pPr>
              <w:spacing w:after="0"/>
              <w:rPr>
                <w:sz w:val="20"/>
                <w:szCs w:val="20"/>
                <w:color w:val="auto"/>
              </w:rPr>
            </w:pPr>
            <w:r>
              <w:rPr>
                <w:rFonts w:ascii="Arial" w:cs="Arial" w:eastAsia="Arial" w:hAnsi="Arial"/>
                <w:sz w:val="11"/>
                <w:szCs w:val="11"/>
                <w:color w:val="auto"/>
              </w:rPr>
              <w:t>for services</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6"/>
              <w:spacing w:after="0"/>
              <w:rPr>
                <w:sz w:val="20"/>
                <w:szCs w:val="20"/>
                <w:color w:val="auto"/>
              </w:rPr>
            </w:pPr>
            <w:r>
              <w:rPr>
                <w:rFonts w:ascii="Arial" w:cs="Arial" w:eastAsia="Arial" w:hAnsi="Arial"/>
                <w:sz w:val="11"/>
                <w:szCs w:val="11"/>
                <w:color w:val="auto"/>
              </w:rPr>
              <w:t>69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Unrealized loss on</w:t>
            </w: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1"/>
                <w:szCs w:val="11"/>
                <w:color w:val="auto"/>
              </w:rPr>
              <w:t>investments</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line="109" w:lineRule="exact"/>
              <w:rPr>
                <w:sz w:val="20"/>
                <w:szCs w:val="20"/>
                <w:color w:val="auto"/>
              </w:rPr>
            </w:pPr>
            <w:r>
              <w:rPr>
                <w:rFonts w:ascii="Arial" w:cs="Arial" w:eastAsia="Arial" w:hAnsi="Arial"/>
                <w:sz w:val="11"/>
                <w:szCs w:val="11"/>
                <w:color w:val="auto"/>
              </w:rPr>
              <w:t>Foreign currency</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60" w:type="dxa"/>
            <w:vAlign w:val="bottom"/>
            <w:gridSpan w:val="2"/>
          </w:tcPr>
          <w:p>
            <w:pPr>
              <w:spacing w:after="0"/>
              <w:rPr>
                <w:sz w:val="20"/>
                <w:szCs w:val="20"/>
                <w:color w:val="auto"/>
              </w:rPr>
            </w:pPr>
            <w:r>
              <w:rPr>
                <w:rFonts w:ascii="Arial" w:cs="Arial" w:eastAsia="Arial" w:hAnsi="Arial"/>
                <w:sz w:val="11"/>
                <w:szCs w:val="11"/>
                <w:color w:val="auto"/>
              </w:rPr>
              <w:t>translation</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Stock based</w:t>
            </w: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1"/>
                <w:szCs w:val="11"/>
                <w:color w:val="auto"/>
              </w:rPr>
              <w:t>compensation</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4,662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4,662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(95,824)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(95,824)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40" w:type="dxa"/>
            <w:vAlign w:val="bottom"/>
            <w:tcBorders>
              <w:top w:val="single" w:sz="8" w:color="CCEEFF"/>
            </w:tcBorders>
            <w:shd w:val="clear" w:color="auto" w:fill="CCEEFF"/>
          </w:tcPr>
          <w:p>
            <w:pPr>
              <w:spacing w:after="0" w:line="89" w:lineRule="exact"/>
              <w:rPr>
                <w:sz w:val="20"/>
                <w:szCs w:val="20"/>
                <w:color w:val="auto"/>
              </w:rPr>
            </w:pPr>
            <w:r>
              <w:rPr>
                <w:rFonts w:ascii="Arial" w:cs="Arial" w:eastAsia="Arial" w:hAnsi="Arial"/>
                <w:sz w:val="10"/>
                <w:szCs w:val="10"/>
                <w:b w:val="1"/>
                <w:bCs w:val="1"/>
                <w:color w:val="auto"/>
              </w:rPr>
              <w:t>Balance,</w:t>
            </w:r>
          </w:p>
        </w:tc>
        <w:tc>
          <w:tcPr>
            <w:tcW w:w="6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December 31, 2021</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4"/>
              </w:rPr>
              <w:t>55,005,523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$ 785,049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(388,166)</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(650)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396,238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line="109" w:lineRule="exact"/>
              <w:rPr>
                <w:sz w:val="20"/>
                <w:szCs w:val="20"/>
                <w:color w:val="auto"/>
              </w:rPr>
            </w:pPr>
            <w:r>
              <w:rPr>
                <w:rFonts w:ascii="Arial" w:cs="Arial" w:eastAsia="Arial" w:hAnsi="Arial"/>
                <w:sz w:val="11"/>
                <w:szCs w:val="11"/>
                <w:color w:val="auto"/>
              </w:rPr>
              <w:t>Issuance of stock to</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60" w:type="dxa"/>
            <w:vAlign w:val="bottom"/>
            <w:gridSpan w:val="2"/>
          </w:tcPr>
          <w:p>
            <w:pPr>
              <w:spacing w:after="0"/>
              <w:rPr>
                <w:sz w:val="20"/>
                <w:szCs w:val="20"/>
                <w:color w:val="auto"/>
              </w:rPr>
            </w:pPr>
            <w:r>
              <w:rPr>
                <w:rFonts w:ascii="Arial" w:cs="Arial" w:eastAsia="Arial" w:hAnsi="Arial"/>
                <w:sz w:val="11"/>
                <w:szCs w:val="11"/>
                <w:color w:val="auto"/>
              </w:rPr>
              <w:t>collaboration partner</w:t>
            </w:r>
          </w:p>
        </w:tc>
        <w:tc>
          <w:tcPr>
            <w:tcW w:w="62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2,160,760</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560" w:type="dxa"/>
            <w:vAlign w:val="bottom"/>
            <w:gridSpan w:val="2"/>
          </w:tcPr>
          <w:p>
            <w:pPr>
              <w:jc w:val="right"/>
              <w:ind w:right="6"/>
              <w:spacing w:after="0"/>
              <w:rPr>
                <w:sz w:val="20"/>
                <w:szCs w:val="20"/>
                <w:color w:val="auto"/>
              </w:rPr>
            </w:pPr>
            <w:r>
              <w:rPr>
                <w:rFonts w:ascii="Arial" w:cs="Arial" w:eastAsia="Arial" w:hAnsi="Arial"/>
                <w:sz w:val="11"/>
                <w:szCs w:val="11"/>
                <w:color w:val="auto"/>
              </w:rPr>
              <w:t>26,812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26,813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w:t>
            </w: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common stock upon</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the exercise of stock</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1"/>
                <w:szCs w:val="11"/>
                <w:color w:val="auto"/>
              </w:rPr>
              <w:t>options</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342,833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345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line="109" w:lineRule="exact"/>
              <w:rPr>
                <w:sz w:val="20"/>
                <w:szCs w:val="20"/>
                <w:color w:val="auto"/>
              </w:rPr>
            </w:pPr>
            <w:r>
              <w:rPr>
                <w:rFonts w:ascii="Arial" w:cs="Arial" w:eastAsia="Arial" w:hAnsi="Arial"/>
                <w:sz w:val="11"/>
                <w:szCs w:val="11"/>
                <w:color w:val="auto"/>
              </w:rPr>
              <w:t>Vesting of restricted</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60" w:type="dxa"/>
            <w:vAlign w:val="bottom"/>
            <w:gridSpan w:val="2"/>
          </w:tcPr>
          <w:p>
            <w:pPr>
              <w:spacing w:after="0"/>
              <w:rPr>
                <w:sz w:val="20"/>
                <w:szCs w:val="20"/>
                <w:color w:val="auto"/>
              </w:rPr>
            </w:pPr>
            <w:r>
              <w:rPr>
                <w:rFonts w:ascii="Arial" w:cs="Arial" w:eastAsia="Arial" w:hAnsi="Arial"/>
                <w:sz w:val="11"/>
                <w:szCs w:val="11"/>
                <w:color w:val="auto"/>
              </w:rPr>
              <w:t>stock</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488,758</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Vesting of early</w:t>
            </w: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exercised stock</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1"/>
                <w:szCs w:val="11"/>
                <w:color w:val="auto"/>
              </w:rPr>
              <w:t>options</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475,786</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1,417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1,417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line="109" w:lineRule="exact"/>
              <w:rPr>
                <w:sz w:val="20"/>
                <w:szCs w:val="20"/>
                <w:color w:val="auto"/>
              </w:rPr>
            </w:pPr>
            <w:r>
              <w:rPr>
                <w:rFonts w:ascii="Arial" w:cs="Arial" w:eastAsia="Arial" w:hAnsi="Arial"/>
                <w:sz w:val="11"/>
                <w:szCs w:val="11"/>
                <w:color w:val="auto"/>
              </w:rPr>
              <w:t>Stock based</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60" w:type="dxa"/>
            <w:vAlign w:val="bottom"/>
            <w:gridSpan w:val="2"/>
          </w:tcPr>
          <w:p>
            <w:pPr>
              <w:spacing w:after="0"/>
              <w:rPr>
                <w:sz w:val="20"/>
                <w:szCs w:val="20"/>
                <w:color w:val="auto"/>
              </w:rPr>
            </w:pPr>
            <w:r>
              <w:rPr>
                <w:rFonts w:ascii="Arial" w:cs="Arial" w:eastAsia="Arial" w:hAnsi="Arial"/>
                <w:sz w:val="11"/>
                <w:szCs w:val="11"/>
                <w:color w:val="auto"/>
              </w:rPr>
              <w:t>compensation</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6"/>
              <w:spacing w:after="0"/>
              <w:rPr>
                <w:sz w:val="20"/>
                <w:szCs w:val="20"/>
                <w:color w:val="auto"/>
              </w:rPr>
            </w:pPr>
            <w:r>
              <w:rPr>
                <w:rFonts w:ascii="Arial" w:cs="Arial" w:eastAsia="Arial" w:hAnsi="Arial"/>
                <w:sz w:val="11"/>
                <w:szCs w:val="11"/>
                <w:color w:val="auto"/>
              </w:rPr>
              <w:t>10,669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10,669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Unrealized loss on</w:t>
            </w: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1"/>
                <w:szCs w:val="11"/>
                <w:color w:val="auto"/>
              </w:rPr>
              <w:t>investments</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line="109" w:lineRule="exact"/>
              <w:rPr>
                <w:sz w:val="20"/>
                <w:szCs w:val="20"/>
                <w:color w:val="auto"/>
              </w:rPr>
            </w:pPr>
            <w:r>
              <w:rPr>
                <w:rFonts w:ascii="Arial" w:cs="Arial" w:eastAsia="Arial" w:hAnsi="Arial"/>
                <w:sz w:val="11"/>
                <w:szCs w:val="11"/>
                <w:color w:val="auto"/>
              </w:rPr>
              <w:t>Foreign currency</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60" w:type="dxa"/>
            <w:vAlign w:val="bottom"/>
            <w:gridSpan w:val="2"/>
          </w:tcPr>
          <w:p>
            <w:pPr>
              <w:spacing w:after="0"/>
              <w:rPr>
                <w:sz w:val="20"/>
                <w:szCs w:val="20"/>
                <w:color w:val="auto"/>
              </w:rPr>
            </w:pPr>
            <w:r>
              <w:rPr>
                <w:rFonts w:ascii="Arial" w:cs="Arial" w:eastAsia="Arial" w:hAnsi="Arial"/>
                <w:sz w:val="11"/>
                <w:szCs w:val="11"/>
                <w:color w:val="auto"/>
              </w:rPr>
              <w:t>translation</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(26)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62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right w:val="single" w:sz="8" w:color="auto"/>
            </w:tcBorders>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(130,932)</w:t>
            </w: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(130,932)</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40" w:type="dxa"/>
            <w:vAlign w:val="bottom"/>
          </w:tcPr>
          <w:p>
            <w:pPr>
              <w:spacing w:after="0" w:line="89" w:lineRule="exact"/>
              <w:rPr>
                <w:sz w:val="20"/>
                <w:szCs w:val="20"/>
                <w:color w:val="auto"/>
              </w:rPr>
            </w:pPr>
            <w:r>
              <w:rPr>
                <w:rFonts w:ascii="Arial" w:cs="Arial" w:eastAsia="Arial" w:hAnsi="Arial"/>
                <w:sz w:val="10"/>
                <w:szCs w:val="10"/>
                <w:b w:val="1"/>
                <w:bCs w:val="1"/>
                <w:color w:val="auto"/>
              </w:rPr>
              <w:t>Balance,</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w:t>
            </w: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1"/>
                <w:szCs w:val="11"/>
                <w:b w:val="1"/>
                <w:bCs w:val="1"/>
                <w:color w:val="auto"/>
              </w:rPr>
              <w:t>$</w:t>
            </w: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7"/>
                <w:szCs w:val="7"/>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4"/>
              </w:rPr>
              <w:t>58,473,660</w:t>
            </w:r>
          </w:p>
        </w:tc>
        <w:tc>
          <w:tcPr>
            <w:tcW w:w="2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6</w:t>
            </w:r>
          </w:p>
        </w:tc>
        <w:tc>
          <w:tcPr>
            <w:tcW w:w="120" w:type="dxa"/>
            <w:vAlign w:val="bottom"/>
          </w:tcPr>
          <w:p>
            <w:pPr>
              <w:spacing w:after="0"/>
              <w:rPr>
                <w:sz w:val="7"/>
                <w:szCs w:val="7"/>
                <w:color w:val="auto"/>
              </w:rPr>
            </w:pPr>
          </w:p>
        </w:tc>
        <w:tc>
          <w:tcPr>
            <w:tcW w:w="560" w:type="dxa"/>
            <w:vAlign w:val="bottom"/>
            <w:gridSpan w:val="2"/>
            <w:vMerge w:val="restart"/>
          </w:tcPr>
          <w:p>
            <w:pPr>
              <w:jc w:val="right"/>
              <w:ind w:right="6"/>
              <w:spacing w:after="0"/>
              <w:rPr>
                <w:sz w:val="20"/>
                <w:szCs w:val="20"/>
                <w:color w:val="auto"/>
              </w:rPr>
            </w:pPr>
            <w:r>
              <w:rPr>
                <w:rFonts w:ascii="Arial" w:cs="Arial" w:eastAsia="Arial" w:hAnsi="Arial"/>
                <w:sz w:val="11"/>
                <w:szCs w:val="11"/>
                <w:b w:val="1"/>
                <w:bCs w:val="1"/>
                <w:color w:val="auto"/>
                <w:w w:val="97"/>
              </w:rPr>
              <w:t>$ 824,292</w:t>
            </w:r>
          </w:p>
        </w:tc>
        <w:tc>
          <w:tcPr>
            <w:tcW w:w="1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(519,098)</w:t>
            </w:r>
          </w:p>
        </w:tc>
        <w:tc>
          <w:tcPr>
            <w:tcW w:w="1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(2,462)</w:t>
            </w:r>
          </w:p>
        </w:tc>
        <w:tc>
          <w:tcPr>
            <w:tcW w:w="60" w:type="dxa"/>
            <w:vAlign w:val="bottom"/>
          </w:tcPr>
          <w:p>
            <w:pPr>
              <w:spacing w:after="0"/>
              <w:rPr>
                <w:sz w:val="7"/>
                <w:szCs w:val="7"/>
                <w:color w:val="auto"/>
              </w:rPr>
            </w:pPr>
          </w:p>
        </w:tc>
        <w:tc>
          <w:tcPr>
            <w:tcW w:w="140" w:type="dxa"/>
            <w:vAlign w:val="bottom"/>
            <w:vMerge w:val="restart"/>
          </w:tcPr>
          <w:p>
            <w:pPr>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302,738</w:t>
            </w:r>
          </w:p>
        </w:tc>
        <w:tc>
          <w:tcPr>
            <w:tcW w:w="0" w:type="dxa"/>
            <w:vAlign w:val="bottom"/>
          </w:tcPr>
          <w:p>
            <w:pPr>
              <w:spacing w:after="0"/>
              <w:rPr>
                <w:sz w:val="1"/>
                <w:szCs w:val="1"/>
                <w:color w:val="auto"/>
              </w:rPr>
            </w:pPr>
          </w:p>
        </w:tc>
      </w:tr>
      <w:tr>
        <w:trPr>
          <w:trHeight w:val="121"/>
        </w:trPr>
        <w:tc>
          <w:tcPr>
            <w:tcW w:w="10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December 31, 2022</w:t>
            </w:r>
          </w:p>
        </w:tc>
        <w:tc>
          <w:tcPr>
            <w:tcW w:w="620" w:type="dxa"/>
            <w:vAlign w:val="bottom"/>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598360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660"/>
          </w:cols>
          <w:pgMar w:left="1220" w:top="513" w:right="1019" w:bottom="1440" w:gutter="0" w:footer="0" w:header="0"/>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25"/>
          <w:szCs w:val="25"/>
          <w:b w:val="1"/>
          <w:bCs w:val="1"/>
          <w:color w:val="auto"/>
        </w:rPr>
        <w:t>(In thousands)</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Year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December 31, 2022</w:t>
            </w:r>
          </w:p>
        </w:tc>
        <w:tc>
          <w:tcPr>
            <w:tcW w:w="160" w:type="dxa"/>
            <w:vAlign w:val="bottom"/>
          </w:tcPr>
          <w:p>
            <w:pPr>
              <w:spacing w:after="0"/>
              <w:rPr>
                <w:sz w:val="14"/>
                <w:szCs w:val="14"/>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Net loss</w:t>
            </w: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(130,932)</w:t>
            </w:r>
          </w:p>
        </w:tc>
        <w:tc>
          <w:tcPr>
            <w:tcW w:w="4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(95,824)</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Adjustments to reconcile net loss to net cash used in operating activities:</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8,440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3,748</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deferred financing cost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200"/>
              <w:spacing w:after="0"/>
              <w:rPr>
                <w:sz w:val="20"/>
                <w:szCs w:val="20"/>
                <w:color w:val="auto"/>
              </w:rPr>
            </w:pPr>
            <w:r>
              <w:rPr>
                <w:rFonts w:ascii="Arial" w:cs="Arial" w:eastAsia="Arial" w:hAnsi="Arial"/>
                <w:sz w:val="14"/>
                <w:szCs w:val="14"/>
                <w:color w:val="auto"/>
              </w:rPr>
              <w:t>Non-cash operating lease expense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1,631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834</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based compensation</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10,669</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w:t>
            </w: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200"/>
              <w:spacing w:after="0"/>
              <w:rPr>
                <w:sz w:val="20"/>
                <w:szCs w:val="20"/>
                <w:color w:val="auto"/>
              </w:rPr>
            </w:pPr>
            <w:r>
              <w:rPr>
                <w:rFonts w:ascii="Arial" w:cs="Arial" w:eastAsia="Arial" w:hAnsi="Arial"/>
                <w:sz w:val="14"/>
                <w:szCs w:val="14"/>
                <w:color w:val="auto"/>
              </w:rPr>
              <w:t>Warrants issued for services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Change in operating assets and liabilities:</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200"/>
              <w:spacing w:after="0"/>
              <w:rPr>
                <w:sz w:val="20"/>
                <w:szCs w:val="20"/>
                <w:color w:val="auto"/>
              </w:rPr>
            </w:pPr>
            <w:r>
              <w:rPr>
                <w:rFonts w:ascii="Arial" w:cs="Arial" w:eastAsia="Arial" w:hAnsi="Arial"/>
                <w:sz w:val="14"/>
                <w:szCs w:val="14"/>
                <w:color w:val="auto"/>
              </w:rPr>
              <w:t>Escrow deposit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502</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784</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(3,182)</w:t>
            </w: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200"/>
              <w:spacing w:after="0"/>
              <w:rPr>
                <w:sz w:val="20"/>
                <w:szCs w:val="20"/>
                <w:color w:val="auto"/>
              </w:rPr>
            </w:pPr>
            <w:r>
              <w:rPr>
                <w:rFonts w:ascii="Arial" w:cs="Arial" w:eastAsia="Arial" w:hAnsi="Arial"/>
                <w:sz w:val="14"/>
                <w:szCs w:val="14"/>
                <w:color w:val="auto"/>
              </w:rPr>
              <w:t>Operating lease liability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5,258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revenue</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117,988</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(4,788)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(1,848)</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Accrued expenses and other liabilities</w:t>
            </w:r>
          </w:p>
        </w:tc>
        <w:tc>
          <w:tcPr>
            <w:tcW w:w="2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3,957</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Borders>
              <w:bottom w:val="single" w:sz="8" w:color="CCEEFF"/>
            </w:tcBorders>
          </w:tcPr>
          <w:p>
            <w:pPr>
              <w:ind w:left="300"/>
              <w:spacing w:after="0" w:line="155"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14,052</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(89,002)</w:t>
            </w:r>
          </w:p>
        </w:tc>
        <w:tc>
          <w:tcPr>
            <w:tcW w:w="120" w:type="dxa"/>
            <w:vAlign w:val="bottom"/>
            <w:tcBorders>
              <w:bottom w:val="single" w:sz="8" w:color="CCEEFF"/>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Acquisition of property and equipment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(30,604)</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(44,970)</w:t>
            </w: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Acquisition of fixed maturity securities, available for sale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(254,000)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(330,034)</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Sale of fixed maturity securities, available for sale</w:t>
            </w:r>
          </w:p>
        </w:tc>
        <w:tc>
          <w:tcPr>
            <w:tcW w:w="2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271,476</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76,666</w:t>
            </w: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(13,128)</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(298,338)</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3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360" w:type="dxa"/>
            <w:vAlign w:val="bottom"/>
          </w:tcPr>
          <w:p>
            <w:pPr>
              <w:ind w:left="80"/>
              <w:spacing w:after="0" w:line="153" w:lineRule="exact"/>
              <w:rPr>
                <w:sz w:val="20"/>
                <w:szCs w:val="20"/>
                <w:color w:val="auto"/>
              </w:rPr>
            </w:pPr>
            <w:r>
              <w:rPr>
                <w:rFonts w:ascii="Arial" w:cs="Arial" w:eastAsia="Arial" w:hAnsi="Arial"/>
                <w:sz w:val="14"/>
                <w:szCs w:val="14"/>
                <w:color w:val="auto"/>
              </w:rPr>
              <w:t>Proceeds from initial public offering, net of underwriting discounts and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commissions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221,402</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Proceeds from issuance of common stock</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Proceeds from early exercises of common stock options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2,305</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Proceeds from subscription receivable</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31,900</w:t>
            </w: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Proceeds from issuance of Series C preferred stock, net of issuance costs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159,628</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contributed as a result of merger</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w:t>
            </w: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Proceeds from issuance of shares to collaboration partner</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26,813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60" w:type="dxa"/>
            <w:vAlign w:val="bottom"/>
            <w:tcBorders>
              <w:top w:val="single" w:sz="8" w:color="CCEEFF"/>
            </w:tcBorders>
            <w:shd w:val="clear" w:color="auto" w:fill="CCEEFF"/>
          </w:tcPr>
          <w:p>
            <w:pPr>
              <w:ind w:left="8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27,158</w:t>
            </w: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417,774</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CCEEFF"/>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60" w:type="dxa"/>
            <w:vAlign w:val="bottom"/>
            <w:shd w:val="clear" w:color="auto" w:fill="CCEEFF"/>
          </w:tcPr>
          <w:p>
            <w:pPr>
              <w:ind w:left="300"/>
              <w:spacing w:after="0" w:line="155" w:lineRule="exact"/>
              <w:rPr>
                <w:sz w:val="20"/>
                <w:szCs w:val="20"/>
                <w:color w:val="auto"/>
              </w:rPr>
            </w:pPr>
            <w:r>
              <w:rPr>
                <w:rFonts w:ascii="Arial" w:cs="Arial" w:eastAsia="Arial" w:hAnsi="Arial"/>
                <w:sz w:val="14"/>
                <w:szCs w:val="14"/>
                <w:b w:val="1"/>
                <w:bCs w:val="1"/>
                <w:color w:val="auto"/>
              </w:rPr>
              <w:t>Net increase in cash, cash equivalents, and restricted cash</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28,082</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30,434</w:t>
            </w:r>
          </w:p>
        </w:tc>
        <w:tc>
          <w:tcPr>
            <w:tcW w:w="1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2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58,162</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27,728</w:t>
            </w: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86,244</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58,162</w:t>
            </w: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Cash paid for interest</w:t>
            </w:r>
          </w:p>
        </w:tc>
        <w:tc>
          <w:tcPr>
            <w:tcW w:w="4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1,097</w:t>
            </w:r>
          </w:p>
        </w:tc>
        <w:tc>
          <w:tcPr>
            <w:tcW w:w="4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969</w:t>
            </w: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36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Cash paid for income tax</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3"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68"/>
              <w:spacing w:after="0" w:line="14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14</w:t>
            </w:r>
          </w:p>
        </w:tc>
        <w:tc>
          <w:tcPr>
            <w:tcW w:w="12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Conversion of convertible preferred stock upon initial public offering</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339,388</w:t>
            </w:r>
          </w:p>
        </w:tc>
        <w:tc>
          <w:tcPr>
            <w:tcW w:w="120" w:type="dxa"/>
            <w:vAlign w:val="bottom"/>
            <w:tcBorders>
              <w:bottom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360" w:type="dxa"/>
            <w:vAlign w:val="bottom"/>
            <w:tcBorders>
              <w:bottom w:val="single" w:sz="8" w:color="CCEEFF"/>
            </w:tcBorders>
            <w:shd w:val="clear" w:color="auto" w:fill="CCEEFF"/>
          </w:tcPr>
          <w:p>
            <w:pPr>
              <w:ind w:left="80"/>
              <w:spacing w:after="0" w:line="143" w:lineRule="exact"/>
              <w:rPr>
                <w:sz w:val="20"/>
                <w:szCs w:val="20"/>
                <w:color w:val="auto"/>
              </w:rPr>
            </w:pPr>
            <w:r>
              <w:rPr>
                <w:rFonts w:ascii="Arial" w:cs="Arial" w:eastAsia="Arial" w:hAnsi="Arial"/>
                <w:sz w:val="14"/>
                <w:szCs w:val="14"/>
                <w:color w:val="auto"/>
              </w:rPr>
              <w:t>Purchase of property and equipment, accrued and unpaid</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3"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2,654</w:t>
            </w: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1,360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-128905</wp:posOffset>
            </wp:positionV>
            <wp:extent cx="20231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CENTURY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1—Organization and description of the business</w:t>
      </w:r>
    </w:p>
    <w:p>
      <w:pPr>
        <w:spacing w:after="0" w:line="21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Company (as defined below) is an innovative biotechnology company developing transformative allogeneic cell therapies to create products for the treatment of both solid tumor and hematological malignancies with significant unmet medical need. Century Therapeutics, Inc. (“Prior Century”), was incorporated in the state of Delaware on March 5, 2018. Since inception, Prior Century has devoted substantially all of its time and efforts to performing research and development activities and raising capital.</w:t>
      </w:r>
    </w:p>
    <w:p>
      <w:pPr>
        <w:spacing w:after="0" w:line="17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June 5, 2019, Century Therapeutics, LLC (the “Company”)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had no significant operations and accounted for its interest in the Company under the equity method of accounting.</w:t>
      </w:r>
    </w:p>
    <w:p>
      <w:pPr>
        <w:spacing w:after="0" w:line="180"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In June 2020, the Company formed Century Therapeutics Canada ULC (“Century Canada”), a wholly owned subsidiary, to acquire the assets of Empirica Therapeutics, Inc. (“Empirica”).</w:t>
      </w:r>
    </w:p>
    <w:p>
      <w:pPr>
        <w:spacing w:after="0" w:line="154"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176" w:lineRule="exact"/>
        <w:rPr>
          <w:sz w:val="20"/>
          <w:szCs w:val="20"/>
          <w:color w:val="auto"/>
        </w:rPr>
      </w:pPr>
    </w:p>
    <w:p>
      <w:pPr>
        <w:ind w:left="60" w:right="219"/>
        <w:spacing w:after="0" w:line="257" w:lineRule="auto"/>
        <w:rPr>
          <w:sz w:val="20"/>
          <w:szCs w:val="20"/>
          <w:color w:val="auto"/>
        </w:rPr>
      </w:pPr>
      <w:r>
        <w:rPr>
          <w:rFonts w:ascii="Arial" w:cs="Arial" w:eastAsia="Arial" w:hAnsi="Arial"/>
          <w:sz w:val="17"/>
          <w:szCs w:val="17"/>
          <w:color w:val="auto"/>
        </w:rPr>
        <w:t>On June 22, 2021, the Company completed its initial public offering (“IPO”) of 10,550,000 shares of Common Stock. On June 22, 2021, the Company sold an additional 1,582,500 shares of Common Stock from the exercise of the overallotment option granted to the underwriters in the IPO. The public offering price of the shares sold in the IPO was $20.00 per share. The Company raised a total of $242,650 in gross proceeds from the offering, or $221,402 in net proceeds after deducting underwriting discounts and commissions of $16,985 and other offering costs of approximately $4,263. Upon the closing of the offering, all shares of the Company’s redeemable convertible preferred stock automatically converted into 34,126,528 shares of common stock.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210"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1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Since inception, the Company has incurred net losses and negative cash flows from operations. During the year ended December 31, 2022, the Company incurred a net loss of $130,932 and generated $14,052 of cash from operations. Cash and cash equivalents and short and long-term investments were $367,352 at December 31, 2022. Management expects to incur additional losses in the future to fund its operations and conduct product research and preclinical and clinical development and recognizes the need to raise additional capital to fully implement its business plan. The Company believes it has adequate cash and financial resources to operate for at least the next 12 months from the date of issuance of these consolidated financial statements.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2—Summary of significant accounting policies and basis of presentation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10"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and capital restructuring</w:t>
      </w:r>
    </w:p>
    <w:p>
      <w:pPr>
        <w:spacing w:after="0" w:line="21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Upon the conversion of Century Therapeutics, LLC to a corporation and the merger of the newly converted corporation with Prior Century, the existing capital structure of Century Therapeutics, LLC was restructured with no consideration transferred. In accordance with ASC 505-10-S99-4, such a restructuring requires retroactive effect within the balance sheets presented. As such, the Company retroactively adjusted its consolidated balance sheets to cancel the existing LLC units and give effect to their conversion into capital stock of the Company as if those effects happened as of January 1, 2020. See Note 10 for further information on the Company’s capital restructuring.</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Reverse Stock Split</w:t>
      </w:r>
    </w:p>
    <w:p>
      <w:pPr>
        <w:spacing w:after="0" w:line="210"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 June 2021, the Company’s Board of Directors approved an amendment to the Company’s amended and restated certificate of incorporation to effect a 2.5161-for-1 reverse stock split of the Company’s common stock, which was effected on June 11, 2021. Stockholders entitled to fractional shares as a result of the reverse stock split received a cash payment in lieu of receiving fractional shares. The par value of the common stock was not adjusted as a result of the reverse stock split.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the convertible preferred stock were proportionately reduced and the respective conversion prices were proportionately increased. All common share and per share data have been retrospectively revised to reflect the reverse stock split.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210"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10" w:lineRule="exact"/>
        <w:rPr>
          <w:sz w:val="20"/>
          <w:szCs w:val="20"/>
          <w:color w:val="auto"/>
        </w:rPr>
      </w:pPr>
    </w:p>
    <w:p>
      <w:pPr>
        <w:ind w:left="60" w:right="379"/>
        <w:spacing w:after="0" w:line="275"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61" w:lineRule="auto"/>
        <w:rPr>
          <w:sz w:val="20"/>
          <w:szCs w:val="20"/>
          <w:color w:val="auto"/>
        </w:rPr>
      </w:pPr>
      <w:r>
        <w:rPr>
          <w:rFonts w:ascii="Arial" w:cs="Arial" w:eastAsia="Arial" w:hAnsi="Arial"/>
          <w:sz w:val="17"/>
          <w:szCs w:val="17"/>
          <w:color w:val="auto"/>
        </w:rPr>
        <w:t>expenses during the reporting period. Estimates and assumptions are primarily made in relation to the valuations supporting stock compensation, the estimation of the incremental borrowing rate for operating leases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1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December 31, 2022 and 2021, the Company has not experienced any losses on its deposits of cash and cash equivalents.</w:t>
      </w:r>
    </w:p>
    <w:p>
      <w:pPr>
        <w:spacing w:after="0" w:line="179"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76" w:lineRule="exact"/>
        <w:rPr>
          <w:sz w:val="20"/>
          <w:szCs w:val="20"/>
          <w:color w:val="auto"/>
        </w:rPr>
      </w:pPr>
    </w:p>
    <w:p>
      <w:pPr>
        <w:ind w:left="60" w:right="159"/>
        <w:spacing w:after="0" w:line="266" w:lineRule="auto"/>
        <w:rPr>
          <w:sz w:val="20"/>
          <w:szCs w:val="20"/>
          <w:color w:val="auto"/>
        </w:rPr>
      </w:pPr>
      <w:r>
        <w:rPr>
          <w:rFonts w:ascii="Arial" w:cs="Arial" w:eastAsia="Arial" w:hAnsi="Arial"/>
          <w:sz w:val="17"/>
          <w:szCs w:val="17"/>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10"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85"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154"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154"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54"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10"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210" w:lineRule="exact"/>
        <w:rPr>
          <w:sz w:val="20"/>
          <w:szCs w:val="20"/>
          <w:color w:val="auto"/>
        </w:rPr>
      </w:pPr>
    </w:p>
    <w:p>
      <w:pPr>
        <w:ind w:left="60" w:right="179"/>
        <w:spacing w:after="0" w:line="301" w:lineRule="auto"/>
        <w:rPr>
          <w:sz w:val="20"/>
          <w:szCs w:val="20"/>
          <w:color w:val="auto"/>
        </w:rPr>
      </w:pPr>
      <w:r>
        <w:rPr>
          <w:rFonts w:ascii="Arial" w:cs="Arial" w:eastAsia="Arial" w:hAnsi="Arial"/>
          <w:sz w:val="17"/>
          <w:szCs w:val="17"/>
          <w:color w:val="auto"/>
        </w:rPr>
        <w:t>As of December 31, 2022 and 2021, the Company had $1,979 and $1,717 in cash on deposit to secure certain lease commitments. Restricted cash is recorded separately in the Company’s consolidated balance sheets.</w:t>
      </w:r>
    </w:p>
    <w:p>
      <w:pPr>
        <w:spacing w:after="0" w:line="131"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060" w:type="dxa"/>
            <w:vAlign w:val="bottom"/>
            <w:tcBorders>
              <w:top w:val="single" w:sz="8" w:color="auto"/>
              <w:bottom w:val="single" w:sz="8" w:color="CCEEFF"/>
            </w:tcBorders>
          </w:tcPr>
          <w:p>
            <w:pPr>
              <w:spacing w:after="0"/>
              <w:rPr>
                <w:sz w:val="15"/>
                <w:szCs w:val="15"/>
                <w:color w:val="auto"/>
              </w:rPr>
            </w:pPr>
          </w:p>
        </w:tc>
        <w:tc>
          <w:tcPr>
            <w:tcW w:w="13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December 31, 2022</w:t>
            </w:r>
          </w:p>
        </w:tc>
        <w:tc>
          <w:tcPr>
            <w:tcW w:w="160" w:type="dxa"/>
            <w:vAlign w:val="bottom"/>
            <w:tcBorders>
              <w:top w:val="single" w:sz="8" w:color="auto"/>
              <w:bottom w:val="single" w:sz="8" w:color="CCEEFF"/>
            </w:tcBorders>
          </w:tcPr>
          <w:p>
            <w:pPr>
              <w:spacing w:after="0"/>
              <w:rPr>
                <w:sz w:val="15"/>
                <w:szCs w:val="15"/>
                <w:color w:val="auto"/>
              </w:rPr>
            </w:pPr>
          </w:p>
        </w:tc>
        <w:tc>
          <w:tcPr>
            <w:tcW w:w="13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December 31, 2021</w:t>
            </w: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84,265</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56,445</w:t>
            </w:r>
          </w:p>
        </w:tc>
      </w:tr>
      <w:tr>
        <w:trPr>
          <w:trHeight w:val="203"/>
        </w:trPr>
        <w:tc>
          <w:tcPr>
            <w:tcW w:w="60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1,717</w:t>
            </w:r>
          </w:p>
        </w:tc>
      </w:tr>
      <w:tr>
        <w:trPr>
          <w:trHeight w:val="196"/>
        </w:trPr>
        <w:tc>
          <w:tcPr>
            <w:tcW w:w="6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restricted cash</w:t>
            </w:r>
          </w:p>
        </w:tc>
        <w:tc>
          <w:tcPr>
            <w:tcW w:w="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86,244</w:t>
            </w: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58,162</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21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income (loss) on the consolidate statements of operations and comprehensive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 the asset’s useful life or the remaining term of the lease. Computer software and equipment includes implementation costs for cloud-based software and network equipment.</w:t>
      </w:r>
    </w:p>
    <w:p>
      <w:pPr>
        <w:spacing w:after="0" w:line="180"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0" w:right="359"/>
        <w:spacing w:after="0" w:line="301" w:lineRule="auto"/>
        <w:rPr>
          <w:sz w:val="20"/>
          <w:szCs w:val="20"/>
          <w:color w:val="auto"/>
        </w:rPr>
      </w:pPr>
      <w:r>
        <w:rPr>
          <w:rFonts w:ascii="Arial" w:cs="Arial" w:eastAsia="Arial" w:hAnsi="Arial"/>
          <w:sz w:val="17"/>
          <w:szCs w:val="17"/>
          <w:color w:val="auto"/>
        </w:rPr>
        <w:t>Research and development expenses include costs directly attributable to the conduct of research and development programs, including the cost of salaries, payroll taxes, employee benefits, stock compensation,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299"/>
        <w:spacing w:after="0" w:line="253" w:lineRule="auto"/>
        <w:rPr>
          <w:sz w:val="20"/>
          <w:szCs w:val="20"/>
          <w:color w:val="auto"/>
        </w:rPr>
      </w:pPr>
      <w:r>
        <w:rPr>
          <w:rFonts w:ascii="Arial" w:cs="Arial" w:eastAsia="Arial" w:hAnsi="Arial"/>
          <w:sz w:val="18"/>
          <w:szCs w:val="18"/>
          <w:color w:val="auto"/>
        </w:rPr>
        <w:t>materials, supplies, rent, depreciation on and maintenance of research equipment with alternative future use, and the cost of services provided by outside contractors. All costs associated with research and development are expensed as incurred.</w:t>
      </w:r>
    </w:p>
    <w:p>
      <w:pPr>
        <w:spacing w:after="0" w:line="16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1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188"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Black-Scholes requires inputs based on certain subjective assumptions, including (i) the expected stock price volatility, (ii) the expected term of the award, (iii) the risk-free interest rate and (iv) expected dividends. Due to the lack of a public market for the Company’s common stock prior to its IPO and lack of company-specific historical and implied volatility data, the Company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10"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Derivatives and Hedging— Contracts in Entity’s Own Equity, as either derivative liabilities or as equity instruments depending on the specific terms of the warrant agreement. The Company’s warrants issued are in connection with its long-term debt and in connection with services provided by consultants, and are equity classified on the accompanying consolidated balance sheets. Equity classified warrants are accounted for at fair value on the issuance date, using Black Scholes, with no changes in fair value recognized after the issuance date.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210"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180" w:lineRule="exact"/>
        <w:rPr>
          <w:sz w:val="20"/>
          <w:szCs w:val="20"/>
          <w:color w:val="auto"/>
        </w:rPr>
      </w:pPr>
    </w:p>
    <w:p>
      <w:pPr>
        <w:jc w:val="both"/>
        <w:ind w:left="60" w:right="259"/>
        <w:spacing w:after="0" w:line="275"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 average number of common shares outstanding during the period plus the potential dilutive effects of its warrants,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years ended December 31, 2022 and 2021.</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exercised options</w:t>
      </w:r>
    </w:p>
    <w:p>
      <w:pPr>
        <w:spacing w:after="0" w:line="21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Company allowed certain of its employees and its consultants to exercise options granted under the 2018 Plan (Note 16) prior to vesting and prior to its IPO.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convertible preferred stock and stockholders’ equity (deficit) until the awards vest. The deposits received are initially recorded in deposit liability. The liabilities are reclassified to common stock and additional paid-in-capital as the repurchase right lapses. At December 31, 2022 and 2021, there were $1,584 and $3,000, respectively, recorded in deposit liability related to shares held by employees and nonemployees that were subject to repurchase.</w:t>
      </w:r>
    </w:p>
    <w:p>
      <w:pPr>
        <w:spacing w:after="0" w:line="189" w:lineRule="exact"/>
        <w:rPr>
          <w:sz w:val="20"/>
          <w:szCs w:val="20"/>
          <w:color w:val="auto"/>
        </w:rPr>
      </w:pPr>
    </w:p>
    <w:p>
      <w:pPr>
        <w:jc w:val="both"/>
        <w:ind w:left="60" w:right="179"/>
        <w:spacing w:after="0" w:line="253" w:lineRule="auto"/>
        <w:rPr>
          <w:sz w:val="20"/>
          <w:szCs w:val="20"/>
          <w:color w:val="auto"/>
        </w:rPr>
      </w:pPr>
      <w:r>
        <w:rPr>
          <w:rFonts w:ascii="Arial" w:cs="Arial" w:eastAsia="Arial" w:hAnsi="Arial"/>
          <w:sz w:val="18"/>
          <w:szCs w:val="18"/>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78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231F20"/>
              </w:rPr>
              <w:t>December 31, 2022</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December 31, 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shares legally outstanding</w:t>
            </w:r>
          </w:p>
        </w:tc>
        <w:tc>
          <w:tcPr>
            <w:tcW w:w="22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59,137,491</w:t>
            </w:r>
          </w:p>
        </w:tc>
        <w:tc>
          <w:tcPr>
            <w:tcW w:w="1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56,633,898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Less: unvested early exercised shares</w:t>
            </w:r>
          </w:p>
        </w:tc>
        <w:tc>
          <w:tcPr>
            <w:tcW w:w="3600" w:type="dxa"/>
            <w:vAlign w:val="bottom"/>
            <w:gridSpan w:val="2"/>
          </w:tcPr>
          <w:p>
            <w:pPr>
              <w:jc w:val="right"/>
              <w:spacing w:after="0" w:line="202" w:lineRule="exact"/>
              <w:rPr>
                <w:sz w:val="20"/>
                <w:szCs w:val="20"/>
                <w:color w:val="auto"/>
              </w:rPr>
            </w:pPr>
            <w:r>
              <w:rPr>
                <w:rFonts w:ascii="Arial" w:cs="Arial" w:eastAsia="Arial" w:hAnsi="Arial"/>
                <w:sz w:val="18"/>
                <w:szCs w:val="18"/>
                <w:color w:val="231F20"/>
              </w:rPr>
              <w:t>(470,800)</w:t>
            </w:r>
          </w:p>
        </w:tc>
        <w:tc>
          <w:tcPr>
            <w:tcW w:w="1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231F20"/>
              </w:rPr>
              <w:t>(946,586)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unvested restricted stock (Note 17)</w:t>
            </w:r>
          </w:p>
        </w:tc>
        <w:tc>
          <w:tcPr>
            <w:tcW w:w="3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231F20"/>
              </w:rPr>
              <w:t>(193,031)</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(681,789)</w:t>
            </w:r>
          </w:p>
        </w:tc>
        <w:tc>
          <w:tcPr>
            <w:tcW w:w="0" w:type="dxa"/>
            <w:vAlign w:val="bottom"/>
          </w:tcPr>
          <w:p>
            <w:pPr>
              <w:spacing w:after="0"/>
              <w:rPr>
                <w:sz w:val="1"/>
                <w:szCs w:val="1"/>
                <w:color w:val="auto"/>
              </w:rPr>
            </w:pPr>
          </w:p>
        </w:tc>
      </w:tr>
      <w:tr>
        <w:trPr>
          <w:trHeight w:val="196"/>
        </w:trPr>
        <w:tc>
          <w:tcPr>
            <w:tcW w:w="3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shares issued and outstanding</w:t>
            </w:r>
          </w:p>
        </w:tc>
        <w:tc>
          <w:tcPr>
            <w:tcW w:w="226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58,473,660</w:t>
            </w:r>
          </w:p>
        </w:tc>
        <w:tc>
          <w:tcPr>
            <w:tcW w:w="16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55,005,523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60" w:type="dxa"/>
            <w:vAlign w:val="bottom"/>
            <w:vMerge w:val="restart"/>
          </w:tcPr>
          <w:p>
            <w:pPr>
              <w:jc w:val="right"/>
              <w:ind w:right="1350"/>
              <w:spacing w:after="0"/>
              <w:rPr>
                <w:sz w:val="20"/>
                <w:szCs w:val="20"/>
                <w:color w:val="auto"/>
              </w:rPr>
            </w:pPr>
            <w:r>
              <w:rPr>
                <w:rFonts w:ascii="Arial" w:cs="Arial" w:eastAsia="Arial" w:hAnsi="Arial"/>
                <w:sz w:val="18"/>
                <w:szCs w:val="18"/>
                <w:color w:val="auto"/>
              </w:rPr>
              <w:t>174</w:t>
            </w: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1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The Company recognizes deferred tax assets to the extent that the Company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 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The Company recognizes interest and penalties related to unrecognized tax benefits on the income tax expense line in the accompanying consolidated statement of operations and comprehensive loss. As of December 31, 2022 and 2021, no accrued interest or penalties are included on the related tax liability line in the consolidated balance sheet.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210"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7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The Company recognizes revenue in accordance with ASC Topic 606, Revenue from Contracts with Customers, or ASC 606. This standard applies to all contracts with customers. When an agreement falls under the scope of other standards, such as ASC Topic 808, Collaborative Arrangements, or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17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the Company satisfies each performance obligation.</w:t>
      </w:r>
    </w:p>
    <w:p>
      <w:pPr>
        <w:spacing w:after="0" w:line="183"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non-current.</w:t>
      </w:r>
    </w:p>
    <w:p>
      <w:pPr>
        <w:spacing w:after="0" w:line="18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spacing w:after="0" w:line="180"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The obligations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w:t>
      </w:r>
    </w:p>
    <w:p>
      <w:pPr>
        <w:spacing w:after="0" w:line="16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9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June 2016, the FASB issued ASU 2016-13, Financial Instruments - Credit Losses: Measurement of Credit Losses of Financial Instruments (ASC 326). The guidance is effective for the Company beginning January 1, 2023 and it changes how entities account for credit losses on the financial assets and other instruments that are not measured at fair value through net income, including available-for-sale debt securities. The Company is currently evaluating the impact of the new standard on its consolidated financial statements.</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3—Initial capitalization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21, 2019, Prior Century and Bayer entered into a Commitment Agreement to initially capitalize the</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 The Commitment Agreement called for capital contributions from Prior Century and Bayer as follows: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Century Capital Contributions</w:t>
      </w:r>
    </w:p>
    <w:p>
      <w:pPr>
        <w:spacing w:after="0" w:line="210" w:lineRule="exact"/>
        <w:rPr>
          <w:sz w:val="20"/>
          <w:szCs w:val="20"/>
          <w:color w:val="auto"/>
        </w:rPr>
      </w:pPr>
    </w:p>
    <w:p>
      <w:pPr>
        <w:ind w:left="60" w:right="319"/>
        <w:spacing w:after="0" w:line="245" w:lineRule="auto"/>
        <w:rPr>
          <w:sz w:val="20"/>
          <w:szCs w:val="20"/>
          <w:color w:val="auto"/>
        </w:rPr>
      </w:pPr>
      <w:r>
        <w:rPr>
          <w:rFonts w:ascii="Arial" w:cs="Arial" w:eastAsia="Arial" w:hAnsi="Arial"/>
          <w:sz w:val="18"/>
          <w:szCs w:val="18"/>
          <w:color w:val="auto"/>
        </w:rPr>
        <w:t>In exchange for issuing 67,226,891 common units to Prior Century, the Company acquired substantially all of Prior Century’s assets, assumed all of its liabilities and assumed the operations of Prior Century.</w:t>
      </w:r>
    </w:p>
    <w:p>
      <w:pPr>
        <w:ind w:left="60" w:right="139"/>
        <w:spacing w:after="0" w:line="238" w:lineRule="auto"/>
        <w:rPr>
          <w:sz w:val="20"/>
          <w:szCs w:val="20"/>
          <w:color w:val="auto"/>
        </w:rPr>
      </w:pPr>
      <w:r>
        <w:rPr>
          <w:rFonts w:ascii="Arial" w:cs="Arial" w:eastAsia="Arial" w:hAnsi="Arial"/>
          <w:sz w:val="18"/>
          <w:szCs w:val="18"/>
          <w:color w:val="auto"/>
        </w:rPr>
        <w:t>The Company evaluated the acquisition under the guidance within ASU 2017-01, “Clarifying the Definition of a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 development (“IPR&amp;D”) asset. In an asset acquisition, the total transaction cost is allocated between the acquired identified tangible and intangible assets based on relative fair value.</w:t>
      </w:r>
    </w:p>
    <w:p>
      <w:pPr>
        <w:spacing w:after="0" w:line="181"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73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As of June 21, 2019</w:t>
            </w: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25,163</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IPR&amp;D</w:t>
            </w:r>
          </w:p>
        </w:tc>
        <w:tc>
          <w:tcPr>
            <w:tcW w:w="1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225,946</w:t>
            </w: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1,034</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578</w:t>
            </w: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669</w:t>
            </w:r>
          </w:p>
        </w:tc>
      </w:tr>
      <w:tr>
        <w:trPr>
          <w:trHeight w:val="203"/>
        </w:trPr>
        <w:tc>
          <w:tcPr>
            <w:tcW w:w="73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(1,283)</w:t>
            </w:r>
          </w:p>
        </w:tc>
      </w:tr>
      <w:tr>
        <w:trPr>
          <w:trHeight w:val="196"/>
        </w:trPr>
        <w:tc>
          <w:tcPr>
            <w:tcW w:w="73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252,107</w:t>
            </w:r>
          </w:p>
        </w:tc>
      </w:tr>
      <w:tr>
        <w:trPr>
          <w:trHeight w:val="20"/>
        </w:trPr>
        <w:tc>
          <w:tcPr>
            <w:tcW w:w="7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allogenic cell therapy platform. As the IPR&amp;D asset has no alternative future use to the Company, the Company charged $225,946 to expense within its consolidated statements of operations in 2019.</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Capital Contributions</w:t>
      </w:r>
    </w:p>
    <w:p>
      <w:pPr>
        <w:spacing w:after="0" w:line="21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In accordance with the Commitment Agreement, Bayer agreed to provide an aggregate cash capital contribution of $ 215,000. The Bayer cash commitment was split into capital contributions of $145,000 (“Tranche 1”) and $70,000 (“Tranche 2”). Tranche 2 was eliminated in connection with the Series C preferred financing. See Note 10.</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Rights</w:t>
      </w:r>
    </w:p>
    <w:p>
      <w:pPr>
        <w:spacing w:after="0" w:line="210" w:lineRule="exact"/>
        <w:rPr>
          <w:sz w:val="20"/>
          <w:szCs w:val="20"/>
          <w:color w:val="auto"/>
        </w:rPr>
      </w:pPr>
    </w:p>
    <w:p>
      <w:pPr>
        <w:ind w:left="60" w:right="559"/>
        <w:spacing w:after="0" w:line="253" w:lineRule="auto"/>
        <w:rPr>
          <w:sz w:val="20"/>
          <w:szCs w:val="20"/>
          <w:color w:val="auto"/>
        </w:rPr>
      </w:pPr>
      <w:r>
        <w:rPr>
          <w:rFonts w:ascii="Arial" w:cs="Arial" w:eastAsia="Arial" w:hAnsi="Arial"/>
          <w:sz w:val="18"/>
          <w:szCs w:val="18"/>
          <w:color w:val="auto"/>
        </w:rPr>
        <w:t>In connection with the Commitment Agreement, Bayer was granted approval and veto rights over certain decisions related to the operations of the Company through its manager representation on the Company’s Board of Managers. Prior Century held similar rights.</w:t>
      </w:r>
    </w:p>
    <w:p>
      <w:pPr>
        <w:spacing w:after="0" w:line="155"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color w:val="auto"/>
        </w:rPr>
        <w:t>Tranche 1 was funded in exchange for 26,143,790 common units, with $75,000 paid at closing and the remaining $70,000 due upon the Company meeting certain development milestones or in 3 years.</w:t>
      </w:r>
    </w:p>
    <w:p>
      <w:pPr>
        <w:spacing w:after="0" w:line="140" w:lineRule="exact"/>
        <w:rPr>
          <w:sz w:val="20"/>
          <w:szCs w:val="20"/>
          <w:color w:val="auto"/>
        </w:rPr>
      </w:pPr>
    </w:p>
    <w:p>
      <w:pPr>
        <w:ind w:left="60" w:right="259"/>
        <w:spacing w:after="0" w:line="241" w:lineRule="auto"/>
        <w:rPr>
          <w:sz w:val="20"/>
          <w:szCs w:val="20"/>
          <w:color w:val="auto"/>
        </w:rPr>
      </w:pPr>
      <w:r>
        <w:rPr>
          <w:rFonts w:ascii="Arial" w:cs="Arial" w:eastAsia="Arial" w:hAnsi="Arial"/>
          <w:sz w:val="18"/>
          <w:szCs w:val="18"/>
          <w:color w:val="auto"/>
        </w:rPr>
        <w:t>During 2019, the Company received $74,839 from Tranche 1, net of equity issuance costs of $161. The Company accounted for the $70,000 as a subscription receivable, which was recorded as contra-equity within its consolidated statements of changes in convertible preferred stock and stockholders’ equity (deficit).</w:t>
      </w:r>
    </w:p>
    <w:p>
      <w:pPr>
        <w:spacing w:after="0" w:line="2"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$38,100 of the Tranche 1 subscription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receivable. The remaining $31,900 was received in January 2021. The Commitment Agreement terminated in connection with the Series C Preferred financing, and Bayer has no obligation to invest any additional amounts. In addition, upon the closing of the Company’s IPO and the conversion of the Company’s preferred stock into common stock in connection therewith, all approval, veto and representation rights held by Bayer and other holders of preferred stock terminated.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21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As a condition of the Tranche 1 closing, Bayer and Prior Century were required to enter into an Option Agreement, pursuant to which Bayer was provided the right of first refusal to acquire certain products researched and developed by the Company. Bayer’s right of first refusal is exercisable with respect to up to four products. Subject to certain exceptions, Bayer may only exercise these option rights in a non-sequential and alternating manner, and such rights are subject to additional limitations.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4—Asset purchase by Century Therapeutics Canada ULC</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9, 2020, Century Canada and the Company entered into an agreement with Empirica, a company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focused on the development of adoptive immunotherapies against aggressive and treatment-resistant forms of</w:t>
      </w:r>
    </w:p>
    <w:p>
      <w:pPr>
        <w:ind w:left="60"/>
        <w:spacing w:after="0" w:line="234" w:lineRule="auto"/>
        <w:rPr>
          <w:sz w:val="20"/>
          <w:szCs w:val="20"/>
          <w:color w:val="auto"/>
        </w:rPr>
      </w:pPr>
      <w:r>
        <w:rPr>
          <w:rFonts w:ascii="Arial" w:cs="Arial" w:eastAsia="Arial" w:hAnsi="Arial"/>
          <w:sz w:val="18"/>
          <w:szCs w:val="18"/>
          <w:color w:val="auto"/>
        </w:rPr>
        <w:t>cancers, including glioblastoma and brain metastasis. Under the terms of the Empirica Agreement, the</w:t>
      </w:r>
    </w:p>
    <w:p>
      <w:pPr>
        <w:ind w:left="60"/>
        <w:spacing w:after="0" w:line="235" w:lineRule="auto"/>
        <w:rPr>
          <w:sz w:val="20"/>
          <w:szCs w:val="20"/>
          <w:color w:val="auto"/>
        </w:rPr>
      </w:pPr>
      <w:r>
        <w:rPr>
          <w:rFonts w:ascii="Arial" w:cs="Arial" w:eastAsia="Arial" w:hAnsi="Arial"/>
          <w:sz w:val="18"/>
          <w:szCs w:val="18"/>
          <w:color w:val="auto"/>
        </w:rPr>
        <w:t>Company acquired an IPR&amp;D asset. Cash of $4,519 was paid at closing and transaction expenses totaled</w:t>
      </w:r>
    </w:p>
    <w:p>
      <w:pPr>
        <w:ind w:left="60"/>
        <w:spacing w:after="0" w:line="235" w:lineRule="auto"/>
        <w:rPr>
          <w:sz w:val="20"/>
          <w:szCs w:val="20"/>
          <w:color w:val="auto"/>
        </w:rPr>
      </w:pPr>
      <w:r>
        <w:rPr>
          <w:rFonts w:ascii="Arial" w:cs="Arial" w:eastAsia="Arial" w:hAnsi="Arial"/>
          <w:sz w:val="18"/>
          <w:szCs w:val="18"/>
          <w:color w:val="auto"/>
        </w:rPr>
        <w:t>$203. The Company also deposited $1,506 in escrow (the “Escrow Deposit”). Release of the Escrow Deposit is</w:t>
      </w:r>
    </w:p>
    <w:p>
      <w:pPr>
        <w:ind w:left="60"/>
        <w:spacing w:after="0" w:line="235" w:lineRule="auto"/>
        <w:rPr>
          <w:sz w:val="20"/>
          <w:szCs w:val="20"/>
          <w:color w:val="auto"/>
        </w:rPr>
      </w:pPr>
      <w:r>
        <w:rPr>
          <w:rFonts w:ascii="Arial" w:cs="Arial" w:eastAsia="Arial" w:hAnsi="Arial"/>
          <w:sz w:val="18"/>
          <w:szCs w:val="18"/>
          <w:color w:val="auto"/>
        </w:rPr>
        <w:t>subject to the terms of a promissory note, which provides for the funds to be released in equal annual</w:t>
      </w:r>
    </w:p>
    <w:p>
      <w:pPr>
        <w:ind w:left="60"/>
        <w:spacing w:after="0" w:line="235" w:lineRule="auto"/>
        <w:rPr>
          <w:sz w:val="20"/>
          <w:szCs w:val="20"/>
          <w:color w:val="auto"/>
        </w:rPr>
      </w:pPr>
      <w:r>
        <w:rPr>
          <w:rFonts w:ascii="Arial" w:cs="Arial" w:eastAsia="Arial" w:hAnsi="Arial"/>
          <w:sz w:val="18"/>
          <w:szCs w:val="18"/>
          <w:color w:val="auto"/>
        </w:rPr>
        <w:t>installments over a three-year period related to continuing services by certain Empirica shareholders who are</w:t>
      </w:r>
    </w:p>
    <w:p>
      <w:pPr>
        <w:ind w:left="60"/>
        <w:spacing w:after="0" w:line="234" w:lineRule="auto"/>
        <w:rPr>
          <w:sz w:val="20"/>
          <w:szCs w:val="20"/>
          <w:color w:val="auto"/>
        </w:rPr>
      </w:pPr>
      <w:r>
        <w:rPr>
          <w:rFonts w:ascii="Arial" w:cs="Arial" w:eastAsia="Arial" w:hAnsi="Arial"/>
          <w:sz w:val="18"/>
          <w:szCs w:val="18"/>
          <w:color w:val="auto"/>
        </w:rPr>
        <w:t>employed by the Company. In July 2021, the first annual installment of $523 was released from escrow. In June</w:t>
      </w:r>
    </w:p>
    <w:p>
      <w:pPr>
        <w:ind w:left="60"/>
        <w:spacing w:after="0" w:line="235" w:lineRule="auto"/>
        <w:rPr>
          <w:sz w:val="20"/>
          <w:szCs w:val="20"/>
          <w:color w:val="auto"/>
        </w:rPr>
      </w:pPr>
      <w:r>
        <w:rPr>
          <w:rFonts w:ascii="Arial" w:cs="Arial" w:eastAsia="Arial" w:hAnsi="Arial"/>
          <w:sz w:val="18"/>
          <w:szCs w:val="18"/>
          <w:color w:val="auto"/>
        </w:rPr>
        <w:t>2022, the second annual installment of $517 was release from escrow. As of December 31, 2022 and 2021,</w:t>
      </w:r>
    </w:p>
    <w:p>
      <w:pPr>
        <w:ind w:left="60"/>
        <w:spacing w:after="0" w:line="235" w:lineRule="auto"/>
        <w:rPr>
          <w:sz w:val="20"/>
          <w:szCs w:val="20"/>
          <w:color w:val="auto"/>
        </w:rPr>
      </w:pPr>
      <w:r>
        <w:rPr>
          <w:rFonts w:ascii="Arial" w:cs="Arial" w:eastAsia="Arial" w:hAnsi="Arial"/>
          <w:sz w:val="18"/>
          <w:szCs w:val="18"/>
          <w:color w:val="auto"/>
        </w:rPr>
        <w:t>accrued compensation expense on the promissory note was $220 and $261, which is presented within escrow</w:t>
      </w:r>
    </w:p>
    <w:p>
      <w:pPr>
        <w:ind w:left="60"/>
        <w:spacing w:after="0"/>
        <w:rPr>
          <w:sz w:val="20"/>
          <w:szCs w:val="20"/>
          <w:color w:val="auto"/>
        </w:rPr>
      </w:pPr>
      <w:r>
        <w:rPr>
          <w:rFonts w:ascii="Arial" w:cs="Arial" w:eastAsia="Arial" w:hAnsi="Arial"/>
          <w:sz w:val="18"/>
          <w:szCs w:val="18"/>
          <w:color w:val="auto"/>
        </w:rPr>
        <w:t>deposits on the consolidated balance sheets.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5—Financial instruments and fair value measurements</w:t>
      </w:r>
    </w:p>
    <w:p>
      <w:pPr>
        <w:spacing w:after="0" w:line="214"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2022, by level within the fair value hierarchy:</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24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Level 3</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77,736</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77,736</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U.S. Treasury</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86,475</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86,475</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196,603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196,603</w:t>
            </w:r>
          </w:p>
        </w:tc>
      </w:tr>
      <w:tr>
        <w:trPr>
          <w:trHeight w:val="196"/>
        </w:trPr>
        <w:tc>
          <w:tcPr>
            <w:tcW w:w="52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164,211</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$ 196,603</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360,814</w:t>
            </w: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2021, by level within the fair value hierarchy:</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24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Level 3</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52,882</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52,882</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U.S. Treasury</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79,752</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79,752</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222,596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222,596</w:t>
            </w:r>
          </w:p>
        </w:tc>
      </w:tr>
      <w:tr>
        <w:trPr>
          <w:trHeight w:val="196"/>
        </w:trPr>
        <w:tc>
          <w:tcPr>
            <w:tcW w:w="52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132,634</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$ 222,596</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355,230</w:t>
            </w: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There were no transfers between levels during the years ended December 31, 2022 and 2021. The Company uses the services of its investment manager, which uses widely accepted models for assumptions in valuing securities with inputs from major third-party data providers.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40"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2022:</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9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Gross</w:t>
            </w: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49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Amortized Cost</w:t>
            </w:r>
          </w:p>
        </w:tc>
        <w:tc>
          <w:tcPr>
            <w:tcW w:w="20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color w:val="auto"/>
              </w:rPr>
              <w:t>Gains</w:t>
            </w:r>
          </w:p>
        </w:tc>
        <w:tc>
          <w:tcPr>
            <w:tcW w:w="18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49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87,798</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(1,323)</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86,475</w:t>
            </w: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197,668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8"/>
              </w:rPr>
              <w:t>(1,067)</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196,603</w:t>
            </w:r>
          </w:p>
        </w:tc>
      </w:tr>
      <w:tr>
        <w:trPr>
          <w:trHeight w:val="196"/>
        </w:trPr>
        <w:tc>
          <w:tcPr>
            <w:tcW w:w="49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285,466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(2,390)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283,078</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2021:</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316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7"/>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160" w:type="dxa"/>
            <w:vAlign w:val="bottom"/>
          </w:tcPr>
          <w:p>
            <w:pPr>
              <w:spacing w:after="0"/>
              <w:rPr>
                <w:sz w:val="14"/>
                <w:szCs w:val="14"/>
                <w:color w:val="auto"/>
              </w:rPr>
            </w:pPr>
          </w:p>
        </w:tc>
        <w:tc>
          <w:tcPr>
            <w:tcW w:w="2860" w:type="dxa"/>
            <w:vAlign w:val="bottom"/>
            <w:gridSpan w:val="3"/>
          </w:tcPr>
          <w:p>
            <w:pPr>
              <w:ind w:left="1820"/>
              <w:spacing w:after="0"/>
              <w:rPr>
                <w:sz w:val="20"/>
                <w:szCs w:val="20"/>
                <w:color w:val="auto"/>
              </w:rPr>
            </w:pPr>
            <w:r>
              <w:rPr>
                <w:rFonts w:ascii="Arial" w:cs="Arial" w:eastAsia="Arial" w:hAnsi="Arial"/>
                <w:sz w:val="14"/>
                <w:szCs w:val="14"/>
                <w:color w:val="auto"/>
              </w:rPr>
              <w:t>Amortized Cost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3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U.S. Treasury</w:t>
            </w:r>
          </w:p>
        </w:tc>
        <w:tc>
          <w:tcPr>
            <w:tcW w:w="1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80,052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79,752</w:t>
            </w:r>
          </w:p>
        </w:tc>
      </w:tr>
      <w:tr>
        <w:trPr>
          <w:trHeight w:val="203"/>
        </w:trPr>
        <w:tc>
          <w:tcPr>
            <w:tcW w:w="31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Corporate bonds</w:t>
            </w:r>
          </w:p>
        </w:tc>
        <w:tc>
          <w:tcPr>
            <w:tcW w:w="18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222,898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222,596</w:t>
            </w:r>
          </w:p>
        </w:tc>
      </w:tr>
      <w:tr>
        <w:trPr>
          <w:trHeight w:val="196"/>
        </w:trPr>
        <w:tc>
          <w:tcPr>
            <w:tcW w:w="31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302,950</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302,348</w:t>
            </w:r>
          </w:p>
        </w:tc>
      </w:tr>
      <w:tr>
        <w:trPr>
          <w:trHeight w:val="20"/>
        </w:trPr>
        <w:tc>
          <w:tcPr>
            <w:tcW w:w="3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maturities of the Company’s fixed maturity available-for-sale securities: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760" w:type="dxa"/>
            <w:vAlign w:val="bottom"/>
            <w:tcBorders>
              <w:top w:val="single" w:sz="8" w:color="auto"/>
              <w:bottom w:val="single" w:sz="8" w:color="CCEEFF"/>
            </w:tcBorders>
          </w:tcPr>
          <w:p>
            <w:pPr>
              <w:spacing w:after="0"/>
              <w:rPr>
                <w:sz w:val="15"/>
                <w:szCs w:val="15"/>
                <w:color w:val="auto"/>
              </w:rPr>
            </w:pPr>
          </w:p>
        </w:tc>
        <w:tc>
          <w:tcPr>
            <w:tcW w:w="2240" w:type="dxa"/>
            <w:vAlign w:val="bottom"/>
            <w:tcBorders>
              <w:top w:val="single" w:sz="8" w:color="auto"/>
              <w:bottom w:val="single" w:sz="8" w:color="CCEEFF"/>
            </w:tcBorders>
          </w:tcPr>
          <w:p>
            <w:pPr>
              <w:spacing w:after="0"/>
              <w:rPr>
                <w:sz w:val="15"/>
                <w:szCs w:val="15"/>
                <w:color w:val="auto"/>
              </w:rPr>
            </w:pPr>
          </w:p>
        </w:tc>
        <w:tc>
          <w:tcPr>
            <w:tcW w:w="13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December 31, 2022</w:t>
            </w:r>
          </w:p>
        </w:tc>
        <w:tc>
          <w:tcPr>
            <w:tcW w:w="20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2021</w:t>
            </w:r>
          </w:p>
        </w:tc>
      </w:tr>
      <w:tr>
        <w:trPr>
          <w:trHeight w:val="196"/>
        </w:trPr>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231,224</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6"/>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166,434</w:t>
            </w:r>
          </w:p>
        </w:tc>
      </w:tr>
      <w:tr>
        <w:trPr>
          <w:trHeight w:val="203"/>
        </w:trPr>
        <w:tc>
          <w:tcPr>
            <w:tcW w:w="3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One to five years</w:t>
            </w:r>
          </w:p>
        </w:tc>
        <w:tc>
          <w:tcPr>
            <w:tcW w:w="2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51,854</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135,914</w:t>
            </w:r>
          </w:p>
        </w:tc>
      </w:tr>
      <w:tr>
        <w:trPr>
          <w:trHeight w:val="196"/>
        </w:trPr>
        <w:tc>
          <w:tcPr>
            <w:tcW w:w="37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283,078</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6"/>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302,348</w:t>
            </w:r>
          </w:p>
        </w:tc>
      </w:tr>
    </w:tbl>
    <w:p>
      <w:pPr>
        <w:spacing w:after="0" w:line="18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6—Prepaid expenses and other current assets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prepaid expenses and other current assets: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67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December 31,</w:t>
            </w: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December 31,</w:t>
            </w:r>
          </w:p>
        </w:tc>
      </w:tr>
      <w:tr>
        <w:trPr>
          <w:trHeight w:val="171"/>
        </w:trPr>
        <w:tc>
          <w:tcPr>
            <w:tcW w:w="6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196"/>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r>
      <w:tr>
        <w:trPr>
          <w:trHeight w:val="202"/>
        </w:trPr>
        <w:tc>
          <w:tcPr>
            <w:tcW w:w="6720" w:type="dxa"/>
            <w:vAlign w:val="bottom"/>
          </w:tcPr>
          <w:p>
            <w:pPr>
              <w:spacing w:after="0" w:line="202" w:lineRule="exact"/>
              <w:rPr>
                <w:sz w:val="20"/>
                <w:szCs w:val="20"/>
                <w:color w:val="auto"/>
              </w:rPr>
            </w:pPr>
            <w:r>
              <w:rPr>
                <w:rFonts w:ascii="Arial" w:cs="Arial" w:eastAsia="Arial" w:hAnsi="Arial"/>
                <w:sz w:val="18"/>
                <w:szCs w:val="18"/>
                <w:color w:val="auto"/>
              </w:rPr>
              <w:t>Insurance</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1,454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1,606</w:t>
            </w: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 licenses</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1,417</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2,033</w:t>
            </w: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Reimbursement receivable</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780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Warranties</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w:t>
            </w:r>
          </w:p>
        </w:tc>
      </w:tr>
      <w:tr>
        <w:trPr>
          <w:trHeight w:val="203"/>
        </w:trPr>
        <w:tc>
          <w:tcPr>
            <w:tcW w:w="67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196"/>
        </w:trPr>
        <w:tc>
          <w:tcPr>
            <w:tcW w:w="67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4,003</w:t>
            </w: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4,773</w:t>
            </w: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7—Property and equipment, net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property and equipment, net: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472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December 31,</w:t>
            </w:r>
          </w:p>
        </w:tc>
        <w:tc>
          <w:tcPr>
            <w:tcW w:w="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December 31,</w:t>
            </w:r>
          </w:p>
        </w:tc>
      </w:tr>
      <w:tr>
        <w:trPr>
          <w:trHeight w:val="171"/>
        </w:trPr>
        <w:tc>
          <w:tcPr>
            <w:tcW w:w="472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 equipment</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28,811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18,114</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48,951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8,365</w:t>
            </w: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13,998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32,836</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Computer software and equipment</w:t>
            </w: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3,132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2,623</w:t>
            </w: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19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1,358</w:t>
            </w: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96,440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63,296</w:t>
            </w: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9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(13,655)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(5,329)</w:t>
            </w: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Property and equipment, net</w:t>
            </w:r>
          </w:p>
        </w:tc>
        <w:tc>
          <w:tcPr>
            <w:tcW w:w="198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82,785</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57,967</w:t>
            </w:r>
          </w:p>
        </w:tc>
      </w:tr>
      <w:tr>
        <w:trPr>
          <w:trHeight w:val="20"/>
        </w:trPr>
        <w:tc>
          <w:tcPr>
            <w:tcW w:w="4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expense was $8,440 and $3,748 for the years ended December 31, 2022 and 2021, respectively.</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8—Accrued expenses and other liabilities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6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December 31,</w:t>
            </w: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December 31,</w:t>
            </w:r>
          </w:p>
        </w:tc>
      </w:tr>
      <w:tr>
        <w:trPr>
          <w:trHeight w:val="171"/>
        </w:trPr>
        <w:tc>
          <w:tcPr>
            <w:tcW w:w="66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Payroll and bonuses</w:t>
            </w: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7,062</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4,445</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clinical trial related costs</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Professional and legal fees</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1,637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796</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liability, current</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w:t>
            </w:r>
          </w:p>
        </w:tc>
      </w:tr>
      <w:tr>
        <w:trPr>
          <w:trHeight w:val="203"/>
        </w:trPr>
        <w:tc>
          <w:tcPr>
            <w:tcW w:w="6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w:t>
            </w:r>
          </w:p>
        </w:tc>
      </w:tr>
      <w:tr>
        <w:trPr>
          <w:trHeight w:val="196"/>
        </w:trPr>
        <w:tc>
          <w:tcPr>
            <w:tcW w:w="6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9,841</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6,040</w:t>
            </w: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9—Long-term debt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the Company’s indebtedness: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CCEEFF"/>
            </w:tcBorders>
          </w:tcPr>
          <w:p>
            <w:pPr>
              <w:spacing w:after="0"/>
              <w:rPr>
                <w:sz w:val="15"/>
                <w:szCs w:val="15"/>
                <w:color w:val="auto"/>
              </w:rPr>
            </w:pPr>
          </w:p>
        </w:tc>
        <w:tc>
          <w:tcPr>
            <w:tcW w:w="1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December 31, 2022</w:t>
            </w:r>
          </w:p>
        </w:tc>
        <w:tc>
          <w:tcPr>
            <w:tcW w:w="16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Principal</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Plus: End of term fee</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Debt discount attributable to warrants, net of accretion</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80" w:type="dxa"/>
            <w:vAlign w:val="bottom"/>
          </w:tcPr>
          <w:p>
            <w:pPr>
              <w:spacing w:after="0" w:line="183" w:lineRule="exact"/>
              <w:rPr>
                <w:sz w:val="20"/>
                <w:szCs w:val="20"/>
                <w:color w:val="auto"/>
              </w:rPr>
            </w:pPr>
            <w:r>
              <w:rPr>
                <w:rFonts w:ascii="Arial" w:cs="Arial" w:eastAsia="Arial" w:hAnsi="Arial"/>
                <w:sz w:val="18"/>
                <w:szCs w:val="18"/>
                <w:color w:val="auto"/>
              </w:rPr>
              <w:t>Less: Unamortized deferred financing cost and end of term fee, net of</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accretion</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10,241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jc w:val="right"/>
              <w:ind w:right="1090"/>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8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0" w:name="page181"/>
    <w:bookmarkEnd w:id="1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On September 14, 2020, the Company entered into a $10,000 Term Loan Agreement (as amended, the “Loan Agreement”) with Hercules Capital, Inc. (“Hercules”). Pursuant to the terms of the Loan Agreement, the Company borrowed $10,000 (the “Tranche 1 Advance”) from the lenders at closing. Beginning January 1, 2021 and upon the achievement of certain development milestones and continuing through September 30, 2021 the Company may borrow an additional $10,000 (the “Tranche 2 Advance”). The remaining $10,000 tranche (“Tranche 3 Advance”) is subject to Hercules’ investment committee’s sole discretion.</w:t>
      </w:r>
    </w:p>
    <w:p>
      <w:pPr>
        <w:spacing w:after="0" w:line="179"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 xml:space="preserve">The Loan Agreement has a four-year term and an interest-only period of up to 30 months. The Company was in compliance with all provisions of the Loan Agreement as of December 31, 2022. Amounts borrowed under the Loan Agreement accrue interest at a floating rate per annum (based on a year of 360 days) equal to (i) the sum of (a) the greater of 6.30% plus (b) the prime rate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the last business day of the month that immediately precedes the month in which the interest will accrue or (ii) 9.55%. The interest rate as of December 31, 2022 and 2021 was 13.8% and 9.55%, respectively.</w:t>
      </w:r>
    </w:p>
    <w:p>
      <w:pPr>
        <w:spacing w:after="0" w:line="179"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color w:val="auto"/>
        </w:rPr>
        <w:t>The Company incurred $ 410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179"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The Company granted Hercules a lien on substantially all of the Company’s assets, excluding intellectual property.</w:t>
      </w:r>
    </w:p>
    <w:p>
      <w:pPr>
        <w:spacing w:after="0" w:line="154"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 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of the Loan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154940</wp:posOffset>
            </wp:positionV>
            <wp:extent cx="38404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For the Year Ended</w:t>
            </w:r>
          </w:p>
        </w:tc>
        <w:tc>
          <w:tcPr>
            <w:tcW w:w="16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color w:val="auto"/>
              </w:rPr>
              <w:t>For the Year Ended</w:t>
            </w:r>
          </w:p>
        </w:tc>
      </w:tr>
      <w:tr>
        <w:trPr>
          <w:trHeight w:val="171"/>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December 31, 2022</w:t>
            </w:r>
          </w:p>
        </w:tc>
        <w:tc>
          <w:tcPr>
            <w:tcW w:w="16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color w:val="auto"/>
              </w:rPr>
              <w:t>December 31, 2021</w:t>
            </w: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1,105</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969</w:t>
            </w: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debt issuance costs, including end of term fee accretion</w:t>
            </w:r>
          </w:p>
        </w:tc>
        <w:tc>
          <w:tcPr>
            <w:tcW w:w="2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299</w:t>
            </w: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w:t>
            </w:r>
          </w:p>
        </w:tc>
        <w:tc>
          <w:tcPr>
            <w:tcW w:w="20" w:type="dxa"/>
            <w:vAlign w:val="bottom"/>
            <w:tcBorders>
              <w:bottom w:val="single" w:sz="8" w:color="CCEEFF"/>
            </w:tcBorders>
          </w:tcPr>
          <w:p>
            <w:pPr>
              <w:spacing w:after="0"/>
              <w:rPr>
                <w:sz w:val="17"/>
                <w:szCs w:val="17"/>
                <w:color w:val="auto"/>
              </w:rPr>
            </w:pPr>
          </w:p>
        </w:tc>
      </w:tr>
      <w:tr>
        <w:trPr>
          <w:trHeight w:val="196"/>
        </w:trPr>
        <w:tc>
          <w:tcPr>
            <w:tcW w:w="5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1,404</w:t>
            </w: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1,275</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Included in accrued expenses in the accompanying consolidated balance sheets as of December 31, 2022 and 2021 was $117 and $82 of accrued interest, respectively.</w:t>
      </w:r>
    </w:p>
    <w:p>
      <w:pPr>
        <w:spacing w:after="0" w:line="154"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Future principal payments due (including the end of term fee) under the Loan Agreement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118110</wp:posOffset>
            </wp:positionV>
            <wp:extent cx="56489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Principal Payments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shd w:val="clear" w:color="auto" w:fill="CCEEFF"/>
          </w:tcPr>
          <w:p>
            <w:pPr>
              <w:jc w:val="right"/>
              <w:ind w:right="2570"/>
              <w:spacing w:after="0" w:line="196" w:lineRule="exact"/>
              <w:rPr>
                <w:sz w:val="20"/>
                <w:szCs w:val="20"/>
                <w:color w:val="auto"/>
              </w:rPr>
            </w:pPr>
            <w:r>
              <w:rPr>
                <w:rFonts w:ascii="Arial" w:cs="Arial" w:eastAsia="Arial" w:hAnsi="Arial"/>
                <w:sz w:val="18"/>
                <w:szCs w:val="18"/>
                <w:color w:val="231F20"/>
                <w:w w:val="94"/>
              </w:rPr>
              <w:t>2023</w:t>
            </w:r>
          </w:p>
        </w:tc>
        <w:tc>
          <w:tcPr>
            <w:tcW w:w="4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6,502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Borders>
              <w:bottom w:val="single" w:sz="8" w:color="CCEEFF"/>
            </w:tcBorders>
          </w:tcPr>
          <w:p>
            <w:pPr>
              <w:jc w:val="right"/>
              <w:ind w:right="2570"/>
              <w:spacing w:after="0" w:line="202" w:lineRule="exact"/>
              <w:rPr>
                <w:sz w:val="20"/>
                <w:szCs w:val="20"/>
                <w:color w:val="auto"/>
              </w:rPr>
            </w:pPr>
            <w:r>
              <w:rPr>
                <w:rFonts w:ascii="Arial" w:cs="Arial" w:eastAsia="Arial" w:hAnsi="Arial"/>
                <w:sz w:val="18"/>
                <w:szCs w:val="18"/>
                <w:color w:val="231F20"/>
                <w:w w:val="94"/>
              </w:rPr>
              <w:t>2024</w:t>
            </w:r>
          </w:p>
        </w:tc>
        <w:tc>
          <w:tcPr>
            <w:tcW w:w="44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3,893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tcBorders>
              <w:bottom w:val="single" w:sz="8" w:color="CCEEFF"/>
            </w:tcBorders>
            <w:shd w:val="clear" w:color="auto" w:fill="CCEEFF"/>
          </w:tcPr>
          <w:p>
            <w:pPr>
              <w:jc w:val="right"/>
              <w:ind w:right="1150"/>
              <w:spacing w:after="0" w:line="196" w:lineRule="exact"/>
              <w:rPr>
                <w:sz w:val="20"/>
                <w:szCs w:val="20"/>
                <w:color w:val="auto"/>
              </w:rPr>
            </w:pPr>
            <w:r>
              <w:rPr>
                <w:rFonts w:ascii="Arial" w:cs="Arial" w:eastAsia="Arial" w:hAnsi="Arial"/>
                <w:sz w:val="18"/>
                <w:szCs w:val="18"/>
                <w:color w:val="231F20"/>
              </w:rPr>
              <w:t>Total future payments</w:t>
            </w:r>
          </w:p>
        </w:tc>
        <w:tc>
          <w:tcPr>
            <w:tcW w:w="4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10,395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40" w:type="dxa"/>
            <w:vAlign w:val="bottom"/>
            <w:vMerge w:val="restart"/>
          </w:tcPr>
          <w:p>
            <w:pPr>
              <w:jc w:val="right"/>
              <w:ind w:right="281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1" w:name="page182"/>
    <w:bookmarkEnd w:id="1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10—Stockholders’ Equity</w:t>
      </w:r>
    </w:p>
    <w:p>
      <w:pPr>
        <w:spacing w:after="0" w:line="21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 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18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 per shares for gross proceeds of $160,000.</w:t>
      </w:r>
    </w:p>
    <w:p>
      <w:pPr>
        <w:spacing w:after="0" w:line="174"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Pursuant to its Amended Articles of Incorporation filed on February 25, 2021, the Company was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June 22, 2021 when the Company closed its IPO, all outstanding shares of the Series A Preferred Stock, Series B Preferred Stock, and Series C Preferred Stock were converted into an aggregate of 34,126,528 shares of Common Stock automatically and without any action on the part of the holder thereof. The per share conversion price of each of the Series A Preferred Stock, Series B Preferred Stock, and Series C Preferred Stock was equal to $1.00, $5.55 and $6.472, respectively. The Company is authorized to issue up to 300,000,000 shares of common stock with a par value of $0.0001 per share and 10,000,000 shares of undesignated preferred stock with a par value of $0.0001 per share.</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 – Bristol-Myers Squibb Collaboration</w:t>
      </w:r>
    </w:p>
    <w:p>
      <w:pPr>
        <w:spacing w:after="0" w:line="21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is within the scope of ASC 808, Collaborative Arrangements as both parties are active participants in the arrangement and are exposed to significant risks and rewards. While this arrangement is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spacing w:after="0" w:line="18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Pursuant to the Collaboration Agreement, the Company and Bristol-Myers Squibb will initially collaborate on two Collaboration Programs focused on acute myeloid leukemia (“AML”) and multiple myeloma (“MM”), and Bristol-Myers Squibb has the option to add up to two additional Collaboration Programs for an additional fee. The Company is responsible for generating Development Candidates for each Collaboration Program, and Bristol-Myers Squibb has the option to elect to exclusively license the Development Candidates for pre-clinical development, clinical development and commercialization on a worldwide basis (“License Option”). Following Bristol-Myers Squibb’s exercise of the License Option, the Company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The Company has the option to co-promote Development Candidates generated from certain specified Collaboration Programs.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2" w:name="page183"/>
    <w:bookmarkEnd w:id="1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$100,000 and will pay an exercise fee upon the exercise of the License Option (“Licensed Program” and product candidates developed under a Licensed Program, “Licensed Products”). For each Licensed Program, Bristol-Myers Squibb will pay up to $235,000 in milestone payments upon the first achievement of certain development and regulatory milestones and will pay up to $500,000 per Licensed Product in net sales-based milestone payments. Bristol-Myers Squibb will also pay the Company tiered royalties per Licensed Product as a percentage of net sales in the high-single digits to low-teens, subject to reduction for biosimilar competition, compulsory licensing and certain third party license costs. If Century exercises its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twelve (12) year anniversary of the first commercial sale of such Licensed Product in such country, (ii) the expiration of any regulatory exclusivity period that covers such Licensed Product in such country, and (iii) the expiration of the last-to-expire licensed patent of the Company or a jointly owned patent that covers such the Licensed Product in such country. After expiration of the applicable royalty term for a Licensed Product in a country, all licenses granted by the Company to Bristol-Myers Squibb for such Licensed Product in such country will be fully paid-up, royalty- free, perpetual and irrevocable.</w:t>
      </w:r>
    </w:p>
    <w:p>
      <w:pPr>
        <w:spacing w:after="0" w:line="184"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connection with the Collaboration Agreement, Bristol-Myers Squibb purchased 2,160,760 shares of the Company’s common stock at a price per share of $23.14, for an aggregate purchase price of $50,000. In determining the fair value of the common stock issued to Bristol-Myers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$23,200 in the aggregate (“Equity Premium”), and the remaining $26,800 was recorded as issuance of common stock in stockholders’ equity.</w:t>
      </w:r>
    </w:p>
    <w:p>
      <w:pPr>
        <w:spacing w:after="0" w:line="18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Company identified the following commitments under the arrangement: (i) research and development services (“R&amp;D Services”) under each of the two initial Collaboration Programs and (ii) Bristol-Myers Squibb’s License Option to elect to exclusively license the Development Candidates for each of the two initial Collaboration Programs. The Company determined that these four commitments represent distinct performance obligations for purposes of recognizing revenue and will recognize revenue as the Company fulfills each performance obligation.</w:t>
      </w:r>
    </w:p>
    <w:p>
      <w:pPr>
        <w:spacing w:after="0" w:line="17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Company determined that the upfront payment and Equity Premium constitute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is not within the Company’s control and is subject to certain research and development success and therefore carries significant uncertainty. The Company will reevaluate the likelihood of achieving these milestones at the end of each reporting period and adjust the transaction price in the period the risk is resolved. In addition, the Company will recognize any consideration related to sales-based milestones and royalties when the subsequent sales occur.</w:t>
      </w:r>
    </w:p>
    <w:p>
      <w:pPr>
        <w:spacing w:after="0" w:line="18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At December 31, 2022, the total transaction price of $123,200 is allocated to the performance obligations based on their estimated standalone selling price. The stand-alone selling price of the research and development services was estimated using the expected cost-plus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p>
      <w:pPr>
        <w:spacing w:after="0" w:line="185" w:lineRule="exact"/>
        <w:rPr>
          <w:sz w:val="20"/>
          <w:szCs w:val="20"/>
          <w:color w:val="auto"/>
        </w:rPr>
      </w:pPr>
    </w:p>
    <w:p>
      <w:pPr>
        <w:ind w:left="720" w:right="219" w:hanging="319"/>
        <w:spacing w:after="0" w:line="274" w:lineRule="auto"/>
        <w:tabs>
          <w:tab w:leader="none" w:pos="72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Research and development services: The Company recognizes the portion of the transaction price allocated to each of the research and development performance obligations as the research and development services are provided, using an inputs method, in proportion to costs incurred to date for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3" w:name="page184"/>
    <w:bookmarkEnd w:id="1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239"/>
        <w:spacing w:after="0" w:line="247" w:lineRule="auto"/>
        <w:rPr>
          <w:sz w:val="20"/>
          <w:szCs w:val="20"/>
          <w:color w:val="auto"/>
        </w:rPr>
      </w:pPr>
      <w:r>
        <w:rPr>
          <w:rFonts w:ascii="Arial" w:cs="Arial" w:eastAsia="Arial" w:hAnsi="Arial"/>
          <w:sz w:val="18"/>
          <w:szCs w:val="18"/>
          <w:color w:val="auto"/>
        </w:rPr>
        <w:t>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p>
      <w:pPr>
        <w:spacing w:after="0" w:line="174" w:lineRule="exact"/>
        <w:rPr>
          <w:sz w:val="20"/>
          <w:szCs w:val="20"/>
          <w:color w:val="auto"/>
        </w:rPr>
      </w:pPr>
    </w:p>
    <w:p>
      <w:pPr>
        <w:ind w:left="720" w:right="79" w:hanging="319"/>
        <w:spacing w:after="0" w:line="246" w:lineRule="auto"/>
        <w:tabs>
          <w:tab w:leader="none" w:pos="7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License option rights: The transaction price allocated to the license options rights, which are considered material rights to license and commercialize the underlying research and development target, are deferred until the period that Bristol-Myers Squibb elects to exercise or elects to not exercise its option or when the option to exercise expires.</w:t>
      </w:r>
    </w:p>
    <w:p>
      <w:pPr>
        <w:spacing w:after="0" w:line="177"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color w:val="auto"/>
        </w:rPr>
        <w:t>The following table summarizes the allocation of the total transaction price to the identified performance obligations under the arrangement, and the amount of the transaction price unsatisfied as of December 31, 2022:</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3"/>
          </w:tcPr>
          <w:p>
            <w:pPr>
              <w:ind w:left="20"/>
              <w:spacing w:after="0"/>
              <w:rPr>
                <w:sz w:val="20"/>
                <w:szCs w:val="20"/>
                <w:color w:val="auto"/>
              </w:rPr>
            </w:pPr>
            <w:r>
              <w:rPr>
                <w:rFonts w:ascii="Arial" w:cs="Arial" w:eastAsia="Arial" w:hAnsi="Arial"/>
                <w:sz w:val="18"/>
                <w:szCs w:val="18"/>
                <w:color w:val="231F20"/>
              </w:rPr>
              <w:t>Cumulative collaboration</w:t>
            </w:r>
          </w:p>
        </w:tc>
        <w:tc>
          <w:tcPr>
            <w:tcW w:w="340" w:type="dxa"/>
            <w:vAlign w:val="bottom"/>
          </w:tcPr>
          <w:p>
            <w:pPr>
              <w:spacing w:after="0"/>
              <w:rPr>
                <w:sz w:val="18"/>
                <w:szCs w:val="18"/>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231F20"/>
              </w:rPr>
              <w:t>Deferred</w:t>
            </w:r>
          </w:p>
        </w:tc>
        <w:tc>
          <w:tcPr>
            <w:tcW w:w="0" w:type="dxa"/>
            <w:vAlign w:val="bottom"/>
          </w:tcPr>
          <w:p>
            <w:pPr>
              <w:spacing w:after="0"/>
              <w:rPr>
                <w:sz w:val="1"/>
                <w:szCs w:val="1"/>
                <w:color w:val="auto"/>
              </w:rPr>
            </w:pPr>
          </w:p>
        </w:tc>
      </w:tr>
      <w:tr>
        <w:trPr>
          <w:trHeight w:val="221"/>
        </w:trPr>
        <w:tc>
          <w:tcPr>
            <w:tcW w:w="3340" w:type="dxa"/>
            <w:vAlign w:val="bottom"/>
          </w:tcPr>
          <w:p>
            <w:pPr>
              <w:ind w:left="120"/>
              <w:spacing w:after="0"/>
              <w:rPr>
                <w:sz w:val="20"/>
                <w:szCs w:val="20"/>
                <w:color w:val="auto"/>
              </w:rPr>
            </w:pPr>
            <w:r>
              <w:rPr>
                <w:rFonts w:ascii="Arial" w:cs="Arial" w:eastAsia="Arial" w:hAnsi="Arial"/>
                <w:sz w:val="18"/>
                <w:szCs w:val="18"/>
                <w:color w:val="231F20"/>
              </w:rPr>
              <w:t>Performance obligations:</w:t>
            </w:r>
          </w:p>
        </w:tc>
        <w:tc>
          <w:tcPr>
            <w:tcW w:w="1580" w:type="dxa"/>
            <w:vAlign w:val="bottom"/>
            <w:gridSpan w:val="3"/>
          </w:tcPr>
          <w:p>
            <w:pPr>
              <w:ind w:left="20"/>
              <w:spacing w:after="0"/>
              <w:rPr>
                <w:sz w:val="20"/>
                <w:szCs w:val="20"/>
                <w:color w:val="auto"/>
              </w:rPr>
            </w:pPr>
            <w:r>
              <w:rPr>
                <w:rFonts w:ascii="Arial" w:cs="Arial" w:eastAsia="Arial" w:hAnsi="Arial"/>
                <w:sz w:val="18"/>
                <w:szCs w:val="18"/>
                <w:color w:val="231F20"/>
              </w:rPr>
              <w:t>Transaction price</w:t>
            </w:r>
          </w:p>
        </w:tc>
        <w:tc>
          <w:tcPr>
            <w:tcW w:w="160" w:type="dxa"/>
            <w:vAlign w:val="bottom"/>
          </w:tcPr>
          <w:p>
            <w:pPr>
              <w:spacing w:after="0"/>
              <w:rPr>
                <w:sz w:val="19"/>
                <w:szCs w:val="19"/>
                <w:color w:val="auto"/>
              </w:rPr>
            </w:pPr>
          </w:p>
        </w:tc>
        <w:tc>
          <w:tcPr>
            <w:tcW w:w="2020" w:type="dxa"/>
            <w:vAlign w:val="bottom"/>
            <w:gridSpan w:val="2"/>
          </w:tcPr>
          <w:p>
            <w:pPr>
              <w:ind w:left="60"/>
              <w:spacing w:after="0"/>
              <w:rPr>
                <w:sz w:val="20"/>
                <w:szCs w:val="20"/>
                <w:color w:val="auto"/>
              </w:rPr>
            </w:pPr>
            <w:r>
              <w:rPr>
                <w:rFonts w:ascii="Arial" w:cs="Arial" w:eastAsia="Arial" w:hAnsi="Arial"/>
                <w:sz w:val="18"/>
                <w:szCs w:val="18"/>
                <w:color w:val="231F20"/>
              </w:rPr>
              <w:t>revenue recognized</w:t>
            </w:r>
          </w:p>
        </w:tc>
        <w:tc>
          <w:tcPr>
            <w:tcW w:w="1800" w:type="dxa"/>
            <w:vAlign w:val="bottom"/>
            <w:gridSpan w:val="2"/>
          </w:tcPr>
          <w:p>
            <w:pPr>
              <w:jc w:val="right"/>
              <w:spacing w:after="0"/>
              <w:rPr>
                <w:sz w:val="20"/>
                <w:szCs w:val="20"/>
                <w:color w:val="auto"/>
              </w:rPr>
            </w:pPr>
            <w:r>
              <w:rPr>
                <w:rFonts w:ascii="Arial" w:cs="Arial" w:eastAsia="Arial" w:hAnsi="Arial"/>
                <w:sz w:val="18"/>
                <w:szCs w:val="18"/>
                <w:color w:val="231F20"/>
              </w:rPr>
              <w:t>collaboration revenue</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231F20"/>
              </w:rPr>
              <w:t>Option rights</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109,164</w:t>
            </w: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231F20"/>
              </w:rPr>
              <w:t>Research and development services</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(5,199)</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231F20"/>
              </w:rPr>
              <w:t>Total</w:t>
            </w: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117,988</w:t>
            </w:r>
          </w:p>
        </w:tc>
        <w:tc>
          <w:tcPr>
            <w:tcW w:w="0" w:type="dxa"/>
            <w:vAlign w:val="bottom"/>
          </w:tcPr>
          <w:p>
            <w:pPr>
              <w:spacing w:after="0"/>
              <w:rPr>
                <w:sz w:val="1"/>
                <w:szCs w:val="1"/>
                <w:color w:val="auto"/>
              </w:rPr>
            </w:pPr>
          </w:p>
        </w:tc>
      </w:tr>
      <w:tr>
        <w:trPr>
          <w:trHeight w:val="184"/>
        </w:trPr>
        <w:tc>
          <w:tcPr>
            <w:tcW w:w="3340" w:type="dxa"/>
            <w:vAlign w:val="bottom"/>
          </w:tcPr>
          <w:p>
            <w:pPr>
              <w:ind w:left="120"/>
              <w:spacing w:after="0" w:line="183" w:lineRule="exact"/>
              <w:rPr>
                <w:sz w:val="20"/>
                <w:szCs w:val="20"/>
                <w:color w:val="auto"/>
              </w:rPr>
            </w:pPr>
            <w:r>
              <w:rPr>
                <w:rFonts w:ascii="Arial" w:cs="Arial" w:eastAsia="Arial" w:hAnsi="Arial"/>
                <w:sz w:val="18"/>
                <w:szCs w:val="18"/>
                <w:color w:val="231F20"/>
              </w:rPr>
              <w:t>Less current portion of deferred</w:t>
            </w:r>
          </w:p>
        </w:tc>
        <w:tc>
          <w:tcPr>
            <w:tcW w:w="4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0" w:type="dxa"/>
            <w:vAlign w:val="bottom"/>
          </w:tcPr>
          <w:p>
            <w:pPr>
              <w:spacing w:after="0"/>
              <w:rPr>
                <w:sz w:val="1"/>
                <w:szCs w:val="1"/>
                <w:color w:val="auto"/>
              </w:rPr>
            </w:pPr>
          </w:p>
        </w:tc>
      </w:tr>
      <w:tr>
        <w:trPr>
          <w:trHeight w:val="221"/>
        </w:trPr>
        <w:tc>
          <w:tcPr>
            <w:tcW w:w="3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231F20"/>
              </w:rPr>
              <w:t>revenue</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231F20"/>
              </w:rPr>
              <w:t>Total long-term deferred revenue</w:t>
            </w: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231F2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231F20"/>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As a direct result of the execution of the Collaboration Agreement, the Company incurred $ 10,000 in fees to amend the FCDI agreement to gain access to the territory rights of Japan. This is recorded as in-process research and development expenses in the consolidated statement of operations and comprehensive loss for the year ended December 31, 2022.</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12—Commitments and contingencies</w:t>
      </w:r>
    </w:p>
    <w:p>
      <w:pPr>
        <w:spacing w:after="0" w:line="214"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21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w:t>
      </w:r>
    </w:p>
    <w:p>
      <w:pPr>
        <w:spacing w:after="0" w:line="179" w:lineRule="exact"/>
        <w:rPr>
          <w:sz w:val="20"/>
          <w:szCs w:val="20"/>
          <w:color w:val="auto"/>
        </w:rPr>
      </w:pPr>
    </w:p>
    <w:p>
      <w:pPr>
        <w:jc w:val="both"/>
        <w:ind w:left="60" w:right="259"/>
        <w:spacing w:after="0" w:line="253" w:lineRule="auto"/>
        <w:rPr>
          <w:sz w:val="20"/>
          <w:szCs w:val="20"/>
          <w:color w:val="auto"/>
        </w:rPr>
      </w:pPr>
      <w:r>
        <w:rPr>
          <w:rFonts w:ascii="Arial" w:cs="Arial" w:eastAsia="Arial" w:hAnsi="Arial"/>
          <w:sz w:val="18"/>
          <w:szCs w:val="18"/>
          <w:color w:val="auto"/>
        </w:rPr>
        <w:t>The Company had $110 within accounts payable as of December 31, 2022 and $36 within accrued expenses and other liabilities as of December 31, 2021, in its consolidated balance sheets related to the Master Service Agreement.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212"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4" w:name="page185"/>
    <w:bookmarkEnd w:id="1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receive payments of up to $4,250 in development and regulatory approval milestone payments. No milestones or royalties were due in 2022 or 2021.</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University of Toronto and McMaster University</w:t>
      </w:r>
    </w:p>
    <w:p>
      <w:pPr>
        <w:spacing w:after="0" w:line="21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In connection with the Empirica asset acquisition in June 2020 (Note 4), the Company acquired a license agreement by and among the Governing Council of the University of Toronto, or the Council, the McMaster University, or, together with the Council, the Toronto Universities, and Empirica (the Empirica License). Under the Empirica License, the Company received an exclusive, non- transferable, sublicensable, worldwide license to certain patents and antibody sequences and related intellectual property rights and know-how.</w:t>
      </w:r>
    </w:p>
    <w:p>
      <w:pPr>
        <w:spacing w:after="0" w:line="1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Pursuant to the Empirica License, the Company is required to make aggregate milestone payments of $18,000 to the Toronto Universities upon the achievement of regulatory approval for certain products developed pursuant to the Empirica License. The Company is also required to make royalty payments to the Toronto Universities in an amount equal to a low single-digit percentage of annual net sales of any product commercialized utilizing technology licensed. The Company is also required to pay the Toronto Institutions 50% of all non-royalty payments from sublicenses up to certain maximum amounts and 50% of royalty payments from sublicenses up to a maximum low single-digit percentage.</w:t>
      </w:r>
    </w:p>
    <w:p>
      <w:pPr>
        <w:spacing w:after="0" w:line="18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The Empirica License expires upon the expiration of the last-to-expire valid claim covering the antibody and antibody-derived technology licensed under the agreement, which, if issued, is expected to expire in 2037. The Toronto Universities may immediately terminate the agreement upon certain insolvency events and the Company may terminate the agreement for convenience upon 30 days’ written notice.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13—Leases</w:t>
      </w:r>
    </w:p>
    <w:p>
      <w:pPr>
        <w:spacing w:after="0" w:line="21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$1,260 and $1,549 within security deposits in its consolidated balance sheets at December 31, 2022 and 2021, respectively. The Company’s leases have initial lease terms ranging from 5 to 16 years. Certain lease agreements contain provisions for future rent increases. Variable lease costs generally include common area maintenance and real estate taxes.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5" w:name="page186"/>
    <w:bookmarkEnd w:id="1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reflects the components of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161925</wp:posOffset>
            </wp:positionV>
            <wp:extent cx="13798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9855"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161925</wp:posOffset>
            </wp:positionV>
            <wp:extent cx="25457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For the Year Ended</w:t>
      </w:r>
    </w:p>
    <w:p>
      <w:pPr>
        <w:spacing w:after="0" w:line="11"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sectPr>
          <w:pgSz w:w="11900" w:h="16838" w:orient="portrait"/>
          <w:cols w:equalWidth="0" w:num="2">
            <w:col w:w="6280" w:space="720"/>
            <w:col w:w="201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196"/>
        </w:trPr>
        <w:tc>
          <w:tcPr>
            <w:tcW w:w="3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expense:</w:t>
            </w:r>
          </w:p>
        </w:tc>
        <w:tc>
          <w:tcPr>
            <w:tcW w:w="8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03"/>
        </w:trPr>
        <w:tc>
          <w:tcPr>
            <w:tcW w:w="3200" w:type="dxa"/>
            <w:vAlign w:val="bottom"/>
          </w:tcPr>
          <w:p>
            <w:pPr>
              <w:ind w:left="100"/>
              <w:spacing w:after="0" w:line="202" w:lineRule="exact"/>
              <w:rPr>
                <w:sz w:val="20"/>
                <w:szCs w:val="20"/>
                <w:color w:val="auto"/>
              </w:rPr>
            </w:pPr>
            <w:r>
              <w:rPr>
                <w:rFonts w:ascii="Arial" w:cs="Arial" w:eastAsia="Arial" w:hAnsi="Arial"/>
                <w:sz w:val="18"/>
                <w:szCs w:val="18"/>
                <w:color w:val="auto"/>
              </w:rPr>
              <w:t>Fixed lease cost</w:t>
            </w:r>
          </w:p>
        </w:tc>
        <w:tc>
          <w:tcPr>
            <w:tcW w:w="1700" w:type="dxa"/>
            <w:vAlign w:val="bottom"/>
            <w:gridSpan w:val="2"/>
          </w:tcPr>
          <w:p>
            <w:pPr>
              <w:jc w:val="right"/>
              <w:ind w:right="69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4,803</w:t>
            </w:r>
          </w:p>
        </w:tc>
        <w:tc>
          <w:tcPr>
            <w:tcW w:w="1200" w:type="dxa"/>
            <w:vAlign w:val="bottom"/>
            <w:gridSpan w:val="2"/>
          </w:tcPr>
          <w:p>
            <w:pPr>
              <w:jc w:val="right"/>
              <w:ind w:right="69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2,256</w:t>
            </w:r>
          </w:p>
        </w:tc>
        <w:tc>
          <w:tcPr>
            <w:tcW w:w="200" w:type="dxa"/>
            <w:vAlign w:val="bottom"/>
          </w:tcPr>
          <w:p>
            <w:pPr>
              <w:spacing w:after="0"/>
              <w:rPr>
                <w:sz w:val="17"/>
                <w:szCs w:val="17"/>
                <w:color w:val="auto"/>
              </w:rPr>
            </w:pPr>
          </w:p>
        </w:tc>
      </w:tr>
      <w:tr>
        <w:trPr>
          <w:trHeight w:val="203"/>
        </w:trPr>
        <w:tc>
          <w:tcPr>
            <w:tcW w:w="3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Variable lease cost</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1,261</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w:t>
            </w:r>
          </w:p>
        </w:tc>
        <w:tc>
          <w:tcPr>
            <w:tcW w:w="200" w:type="dxa"/>
            <w:vAlign w:val="bottom"/>
            <w:shd w:val="clear" w:color="auto" w:fill="CCEEFF"/>
          </w:tcPr>
          <w:p>
            <w:pPr>
              <w:spacing w:after="0"/>
              <w:rPr>
                <w:sz w:val="17"/>
                <w:szCs w:val="17"/>
                <w:color w:val="auto"/>
              </w:rPr>
            </w:pPr>
          </w:p>
        </w:tc>
      </w:tr>
      <w:tr>
        <w:trPr>
          <w:trHeight w:val="203"/>
        </w:trPr>
        <w:tc>
          <w:tcPr>
            <w:tcW w:w="32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Short term lease expense</w:t>
            </w:r>
          </w:p>
        </w:tc>
        <w:tc>
          <w:tcPr>
            <w:tcW w:w="8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2,600</w:t>
            </w:r>
          </w:p>
        </w:tc>
        <w:tc>
          <w:tcPr>
            <w:tcW w:w="3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2,628</w:t>
            </w:r>
          </w:p>
        </w:tc>
        <w:tc>
          <w:tcPr>
            <w:tcW w:w="200" w:type="dxa"/>
            <w:vAlign w:val="bottom"/>
            <w:tcBorders>
              <w:bottom w:val="single" w:sz="8" w:color="CCEEFF"/>
            </w:tcBorders>
          </w:tcPr>
          <w:p>
            <w:pPr>
              <w:spacing w:after="0"/>
              <w:rPr>
                <w:sz w:val="17"/>
                <w:szCs w:val="17"/>
                <w:color w:val="auto"/>
              </w:rPr>
            </w:pPr>
          </w:p>
        </w:tc>
      </w:tr>
      <w:tr>
        <w:trPr>
          <w:trHeight w:val="196"/>
        </w:trPr>
        <w:tc>
          <w:tcPr>
            <w:tcW w:w="3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8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8,664</w:t>
            </w:r>
          </w:p>
        </w:tc>
        <w:tc>
          <w:tcPr>
            <w:tcW w:w="3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5,593</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3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154940</wp:posOffset>
            </wp:positionV>
            <wp:extent cx="56407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282" w:lineRule="exact"/>
        <w:rPr>
          <w:sz w:val="20"/>
          <w:szCs w:val="20"/>
          <w:color w:val="auto"/>
        </w:rPr>
      </w:pPr>
    </w:p>
    <w:tbl>
      <w:tblPr>
        <w:tblLayout w:type="fixed"/>
        <w:tblInd w:w="466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As of</w:t>
            </w:r>
          </w:p>
        </w:tc>
        <w:tc>
          <w:tcPr>
            <w:tcW w:w="1120" w:type="dxa"/>
            <w:vAlign w:val="bottom"/>
          </w:tcPr>
          <w:p>
            <w:pPr>
              <w:jc w:val="right"/>
              <w:spacing w:after="0"/>
              <w:rPr>
                <w:sz w:val="20"/>
                <w:szCs w:val="20"/>
                <w:color w:val="auto"/>
              </w:rPr>
            </w:pPr>
            <w:r>
              <w:rPr>
                <w:rFonts w:ascii="Arial" w:cs="Arial" w:eastAsia="Arial" w:hAnsi="Arial"/>
                <w:sz w:val="14"/>
                <w:szCs w:val="14"/>
                <w:color w:val="auto"/>
              </w:rPr>
              <w:t>As of</w:t>
            </w:r>
          </w:p>
        </w:tc>
      </w:tr>
      <w:tr>
        <w:trPr>
          <w:trHeight w:val="162"/>
        </w:trPr>
        <w:tc>
          <w:tcPr>
            <w:tcW w:w="19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December 31,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December 31,</w:t>
            </w:r>
          </w:p>
        </w:tc>
      </w:tr>
      <w:tr>
        <w:trPr>
          <w:trHeight w:val="171"/>
        </w:trPr>
        <w:tc>
          <w:tcPr>
            <w:tcW w:w="1900" w:type="dxa"/>
            <w:vAlign w:val="bottom"/>
          </w:tcPr>
          <w:p>
            <w:pPr>
              <w:spacing w:after="0"/>
              <w:rPr>
                <w:sz w:val="20"/>
                <w:szCs w:val="20"/>
                <w:color w:val="auto"/>
              </w:rPr>
            </w:pPr>
            <w:r>
              <w:rPr>
                <w:rFonts w:ascii="Arial" w:cs="Arial" w:eastAsia="Arial" w:hAnsi="Arial"/>
                <w:sz w:val="14"/>
                <w:szCs w:val="14"/>
                <w:color w:val="auto"/>
              </w:rPr>
              <w:t>Location in Balance Sheet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bl>
    <w:p>
      <w:pPr>
        <w:spacing w:after="0" w:line="139" w:lineRule="exact"/>
        <w:rPr>
          <w:sz w:val="20"/>
          <w:szCs w:val="20"/>
          <w:color w:val="auto"/>
        </w:rPr>
      </w:pPr>
    </w:p>
    <w:p>
      <w:pPr>
        <w:sectPr>
          <w:pgSz w:w="11900" w:h="16838" w:orient="portrait"/>
          <w:cols w:equalWidth="0" w:num="1">
            <w:col w:w="9019"/>
          </w:cols>
          <w:pgMar w:left="1440" w:top="513" w:right="1440" w:bottom="1440" w:gutter="0" w:footer="0" w:header="0"/>
          <w:type w:val="continuous"/>
        </w:sectPr>
      </w:pP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28,945</w:t>
            </w:r>
          </w:p>
        </w:tc>
        <w:tc>
          <w:tcPr>
            <w:tcW w:w="160" w:type="dxa"/>
            <w:vAlign w:val="bottom"/>
          </w:tcPr>
          <w:p>
            <w:pPr>
              <w:spacing w:after="0"/>
              <w:rPr>
                <w:sz w:val="17"/>
                <w:szCs w:val="17"/>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11,854</w:t>
            </w: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400" w:type="dxa"/>
            <w:vAlign w:val="bottom"/>
            <w:gridSpan w:val="2"/>
          </w:tcPr>
          <w:p>
            <w:pPr>
              <w:jc w:val="right"/>
              <w:ind w:right="127"/>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160" w:type="dxa"/>
            <w:vAlign w:val="bottom"/>
          </w:tcPr>
          <w:p>
            <w:pPr>
              <w:spacing w:after="0"/>
              <w:rPr>
                <w:sz w:val="17"/>
                <w:szCs w:val="17"/>
                <w:color w:val="auto"/>
              </w:rPr>
            </w:pPr>
          </w:p>
        </w:tc>
        <w:tc>
          <w:tcPr>
            <w:tcW w:w="320" w:type="dxa"/>
            <w:vAlign w:val="bottom"/>
            <w:gridSpan w:val="2"/>
          </w:tcPr>
          <w:p>
            <w:pPr>
              <w:jc w:val="right"/>
              <w:ind w:right="147"/>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r>
      <w:tr>
        <w:trPr>
          <w:trHeight w:val="221"/>
        </w:trPr>
        <w:tc>
          <w:tcPr>
            <w:tcW w:w="314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w:t>
            </w:r>
          </w:p>
        </w:tc>
      </w:tr>
      <w:tr>
        <w:trPr>
          <w:trHeight w:val="196"/>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39,173</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15,174</w:t>
            </w:r>
          </w:p>
        </w:tc>
      </w:tr>
      <w:tr>
        <w:trPr>
          <w:trHeight w:val="20"/>
        </w:trPr>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-2055495</wp:posOffset>
            </wp:positionH>
            <wp:positionV relativeFrom="paragraph">
              <wp:posOffset>-548005</wp:posOffset>
            </wp:positionV>
            <wp:extent cx="5648960"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-290830</wp:posOffset>
            </wp:positionV>
            <wp:extent cx="5648960"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120" w:space="180"/>
            <w:col w:w="5719"/>
          </w:cols>
          <w:pgMar w:left="1440" w:top="513"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10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As of December 31, 2022</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As of December 31, 2021</w:t>
            </w:r>
          </w:p>
        </w:tc>
        <w:tc>
          <w:tcPr>
            <w:tcW w:w="180" w:type="dxa"/>
            <w:vAlign w:val="bottom"/>
          </w:tcPr>
          <w:p>
            <w:pPr>
              <w:spacing w:after="0"/>
              <w:rPr>
                <w:sz w:val="15"/>
                <w:szCs w:val="15"/>
                <w:color w:val="auto"/>
              </w:rPr>
            </w:pP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1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 years</w:t>
            </w:r>
          </w:p>
        </w:tc>
        <w:tc>
          <w:tcPr>
            <w:tcW w:w="2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 years</w:t>
            </w:r>
          </w:p>
        </w:tc>
        <w:tc>
          <w:tcPr>
            <w:tcW w:w="180" w:type="dxa"/>
            <w:vAlign w:val="bottom"/>
            <w:tcBorders>
              <w:top w:val="single" w:sz="8" w:color="CCEEFF"/>
            </w:tcBorders>
            <w:shd w:val="clear" w:color="auto" w:fill="CCEEFF"/>
          </w:tcPr>
          <w:p>
            <w:pPr>
              <w:spacing w:after="0"/>
              <w:rPr>
                <w:sz w:val="17"/>
                <w:szCs w:val="17"/>
                <w:color w:val="auto"/>
              </w:rPr>
            </w:pPr>
          </w:p>
        </w:tc>
      </w:tr>
      <w:tr>
        <w:trPr>
          <w:trHeight w:val="239"/>
        </w:trPr>
        <w:tc>
          <w:tcPr>
            <w:tcW w:w="510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9.0 %</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9.0 %</w:t>
            </w:r>
          </w:p>
        </w:tc>
      </w:tr>
    </w:tbl>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For the Year Ended</w:t>
            </w: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For the Year Ended</w:t>
            </w:r>
          </w:p>
        </w:tc>
        <w:tc>
          <w:tcPr>
            <w:tcW w:w="20" w:type="dxa"/>
            <w:vAlign w:val="bottom"/>
          </w:tcPr>
          <w:p>
            <w:pPr>
              <w:spacing w:after="0"/>
              <w:rPr>
                <w:sz w:val="14"/>
                <w:szCs w:val="14"/>
                <w:color w:val="auto"/>
              </w:rPr>
            </w:pPr>
          </w:p>
        </w:tc>
      </w:tr>
      <w:tr>
        <w:trPr>
          <w:trHeight w:val="171"/>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December 31, 2022</w:t>
            </w:r>
          </w:p>
        </w:tc>
        <w:tc>
          <w:tcPr>
            <w:tcW w:w="200" w:type="dxa"/>
            <w:vAlign w:val="bottom"/>
          </w:tcPr>
          <w:p>
            <w:pPr>
              <w:spacing w:after="0"/>
              <w:rPr>
                <w:sz w:val="14"/>
                <w:szCs w:val="14"/>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4"/>
                <w:szCs w:val="14"/>
                <w:color w:val="auto"/>
              </w:rPr>
              <w:t>December 31, 2021</w:t>
            </w:r>
          </w:p>
        </w:tc>
      </w:tr>
      <w:tr>
        <w:trPr>
          <w:trHeight w:val="196"/>
        </w:trPr>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62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5,258</w:t>
            </w:r>
          </w:p>
        </w:tc>
        <w:tc>
          <w:tcPr>
            <w:tcW w:w="66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62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19,599</w:t>
            </w:r>
          </w:p>
        </w:tc>
        <w:tc>
          <w:tcPr>
            <w:tcW w:w="66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3,295</w:t>
            </w:r>
          </w:p>
        </w:tc>
        <w:tc>
          <w:tcPr>
            <w:tcW w:w="2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The following table reflects future minimum lease payments under noncancelable leases as of December 31, 2022:</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80" w:type="dxa"/>
            <w:vAlign w:val="bottom"/>
            <w:tcBorders>
              <w:top w:val="single" w:sz="8" w:color="auto"/>
              <w:bottom w:val="single" w:sz="8" w:color="CCEEFF"/>
            </w:tcBorders>
          </w:tcPr>
          <w:p>
            <w:pPr>
              <w:spacing w:after="0"/>
              <w:rPr>
                <w:sz w:val="15"/>
                <w:szCs w:val="15"/>
                <w:color w:val="auto"/>
              </w:rPr>
            </w:pPr>
          </w:p>
        </w:tc>
        <w:tc>
          <w:tcPr>
            <w:tcW w:w="420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Operating Leases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2023</w:t>
            </w:r>
          </w:p>
        </w:tc>
        <w:tc>
          <w:tcPr>
            <w:tcW w:w="4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4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4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4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4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4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54,049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4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94,325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4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(48,703)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Tenant incentive receivable</w:t>
            </w:r>
          </w:p>
        </w:tc>
        <w:tc>
          <w:tcPr>
            <w:tcW w:w="4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(6,449)</w:t>
            </w:r>
          </w:p>
        </w:tc>
        <w:tc>
          <w:tcPr>
            <w:tcW w:w="0" w:type="dxa"/>
            <w:vAlign w:val="bottom"/>
          </w:tcPr>
          <w:p>
            <w:pPr>
              <w:spacing w:after="0"/>
              <w:rPr>
                <w:sz w:val="1"/>
                <w:szCs w:val="1"/>
                <w:color w:val="auto"/>
              </w:rPr>
            </w:pPr>
          </w:p>
        </w:tc>
      </w:tr>
      <w:tr>
        <w:trPr>
          <w:trHeight w:val="196"/>
        </w:trPr>
        <w:tc>
          <w:tcPr>
            <w:tcW w:w="35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4200" w:type="dxa"/>
            <w:vAlign w:val="bottom"/>
          </w:tcPr>
          <w:p>
            <w:pPr>
              <w:spacing w:after="0"/>
              <w:rPr>
                <w:sz w:val="17"/>
                <w:szCs w:val="17"/>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200" w:type="dxa"/>
            <w:vAlign w:val="bottom"/>
            <w:vMerge w:val="restart"/>
          </w:tcPr>
          <w:p>
            <w:pPr>
              <w:jc w:val="right"/>
              <w:ind w:right="2990"/>
              <w:spacing w:after="0"/>
              <w:rPr>
                <w:sz w:val="20"/>
                <w:szCs w:val="20"/>
                <w:color w:val="auto"/>
              </w:rPr>
            </w:pPr>
            <w:r>
              <w:rPr>
                <w:rFonts w:ascii="Arial" w:cs="Arial" w:eastAsia="Arial" w:hAnsi="Arial"/>
                <w:sz w:val="18"/>
                <w:szCs w:val="18"/>
                <w:color w:val="auto"/>
              </w:rPr>
              <w:t>186</w:t>
            </w: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type w:val="continuous"/>
        </w:sectPr>
      </w:pPr>
    </w:p>
    <w:bookmarkStart w:id="186" w:name="page187"/>
    <w:bookmarkEnd w:id="1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14—Income taxes</w:t>
      </w:r>
    </w:p>
    <w:p>
      <w:pPr>
        <w:spacing w:after="0" w:line="214"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Until February 25, 2021, the Company was organized as a limited liability company, which is considered a passthrough entity for federal and state income tax purposes. As such, any taxable income or loss realized by the Company for the period ended February 25, 2021 was allocated to the members in accordance with their respective membership interest and reported on their individual tax returns.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(loss) before provision for income taxes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r>
      <w:tr>
        <w:trPr>
          <w:trHeight w:val="196"/>
        </w:trPr>
        <w:tc>
          <w:tcPr>
            <w:tcW w:w="65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r>
      <w:tr>
        <w:trPr>
          <w:trHeight w:val="183"/>
        </w:trPr>
        <w:tc>
          <w:tcPr>
            <w:tcW w:w="65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Domestic</w:t>
            </w:r>
          </w:p>
        </w:tc>
        <w:tc>
          <w:tcPr>
            <w:tcW w:w="2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(131,314)</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(96,002)</w:t>
            </w:r>
          </w:p>
        </w:tc>
      </w:tr>
      <w:tr>
        <w:trPr>
          <w:trHeight w:val="18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183"/>
        </w:trPr>
        <w:tc>
          <w:tcPr>
            <w:tcW w:w="65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Loss before provision for income taxes</w:t>
            </w:r>
          </w:p>
        </w:tc>
        <w:tc>
          <w:tcPr>
            <w:tcW w:w="2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(130,841)</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(95,824)</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the provision for income taxes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240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r>
      <w:tr>
        <w:trPr>
          <w:trHeight w:val="196"/>
        </w:trPr>
        <w:tc>
          <w:tcPr>
            <w:tcW w:w="65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r>
      <w:tr>
        <w:trPr>
          <w:trHeight w:val="210"/>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expense:</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89"/>
        </w:trPr>
        <w:tc>
          <w:tcPr>
            <w:tcW w:w="6500" w:type="dxa"/>
            <w:vAlign w:val="bottom"/>
          </w:tcPr>
          <w:p>
            <w:pPr>
              <w:ind w:left="120"/>
              <w:spacing w:after="0"/>
              <w:rPr>
                <w:sz w:val="20"/>
                <w:szCs w:val="20"/>
                <w:color w:val="auto"/>
              </w:rPr>
            </w:pPr>
            <w:r>
              <w:rPr>
                <w:rFonts w:ascii="Arial" w:cs="Arial" w:eastAsia="Arial" w:hAnsi="Arial"/>
                <w:sz w:val="16"/>
                <w:szCs w:val="16"/>
                <w:color w:val="auto"/>
              </w:rPr>
              <w:t>Federal</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State</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Foreign</w:t>
            </w: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183"/>
        </w:trPr>
        <w:tc>
          <w:tcPr>
            <w:tcW w:w="65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current expense:</w:t>
            </w: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86</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43</w:t>
            </w:r>
          </w:p>
        </w:tc>
      </w:tr>
      <w:tr>
        <w:trPr>
          <w:trHeight w:val="216"/>
        </w:trPr>
        <w:tc>
          <w:tcPr>
            <w:tcW w:w="6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expense:</w:t>
            </w: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9"/>
        </w:trPr>
        <w:tc>
          <w:tcPr>
            <w:tcW w:w="6500" w:type="dxa"/>
            <w:vAlign w:val="bottom"/>
          </w:tcPr>
          <w:p>
            <w:pPr>
              <w:ind w:left="120"/>
              <w:spacing w:after="0"/>
              <w:rPr>
                <w:sz w:val="20"/>
                <w:szCs w:val="20"/>
                <w:color w:val="auto"/>
              </w:rPr>
            </w:pPr>
            <w:r>
              <w:rPr>
                <w:rFonts w:ascii="Arial" w:cs="Arial" w:eastAsia="Arial" w:hAnsi="Arial"/>
                <w:sz w:val="16"/>
                <w:szCs w:val="16"/>
                <w:color w:val="auto"/>
              </w:rPr>
              <w:t>Federal</w:t>
            </w:r>
          </w:p>
        </w:tc>
        <w:tc>
          <w:tcPr>
            <w:tcW w:w="8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State</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Foreign</w:t>
            </w: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65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Total deferred expense:</w:t>
            </w: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216"/>
        </w:trPr>
        <w:tc>
          <w:tcPr>
            <w:tcW w:w="65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83"/>
        </w:trPr>
        <w:tc>
          <w:tcPr>
            <w:tcW w:w="65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income tax expense</w:t>
            </w:r>
          </w:p>
        </w:tc>
        <w:tc>
          <w:tcPr>
            <w:tcW w:w="800" w:type="dxa"/>
            <w:vAlign w:val="bottom"/>
            <w:tcBorders>
              <w:bottom w:val="single" w:sz="8" w:color="auto"/>
            </w:tcBorders>
            <w:shd w:val="clear" w:color="auto" w:fill="CCEEFF"/>
          </w:tcPr>
          <w:p>
            <w:pPr>
              <w:jc w:val="right"/>
              <w:ind w:right="619"/>
              <w:spacing w:after="0" w:line="183" w:lineRule="exact"/>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91</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43</w:t>
            </w:r>
          </w:p>
        </w:tc>
      </w:tr>
      <w:tr>
        <w:trPr>
          <w:trHeight w:val="20"/>
        </w:trPr>
        <w:tc>
          <w:tcPr>
            <w:tcW w:w="6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A reconciliation of the Company's statutory income tax rate to the Company’s effective income tax rate is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r>
      <w:tr>
        <w:trPr>
          <w:trHeight w:val="196"/>
        </w:trPr>
        <w:tc>
          <w:tcPr>
            <w:tcW w:w="65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r>
      <w:tr>
        <w:trPr>
          <w:trHeight w:val="183"/>
        </w:trPr>
        <w:tc>
          <w:tcPr>
            <w:tcW w:w="65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Income at US statutory rate</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21.0%</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21.0%</w:t>
            </w:r>
          </w:p>
        </w:tc>
      </w:tr>
      <w:tr>
        <w:trPr>
          <w:trHeight w:val="189"/>
        </w:trPr>
        <w:tc>
          <w:tcPr>
            <w:tcW w:w="6500" w:type="dxa"/>
            <w:vAlign w:val="bottom"/>
          </w:tcPr>
          <w:p>
            <w:pPr>
              <w:ind w:left="20"/>
              <w:spacing w:after="0"/>
              <w:rPr>
                <w:sz w:val="20"/>
                <w:szCs w:val="20"/>
                <w:color w:val="auto"/>
              </w:rPr>
            </w:pPr>
            <w:r>
              <w:rPr>
                <w:rFonts w:ascii="Arial" w:cs="Arial" w:eastAsia="Arial" w:hAnsi="Arial"/>
                <w:sz w:val="16"/>
                <w:szCs w:val="16"/>
                <w:color w:val="auto"/>
              </w:rPr>
              <w:t>State taxes, net of federal benefit</w:t>
            </w:r>
          </w:p>
        </w:tc>
        <w:tc>
          <w:tcPr>
            <w:tcW w:w="1100" w:type="dxa"/>
            <w:vAlign w:val="bottom"/>
          </w:tcPr>
          <w:p>
            <w:pPr>
              <w:jc w:val="right"/>
              <w:spacing w:after="0"/>
              <w:rPr>
                <w:sz w:val="20"/>
                <w:szCs w:val="20"/>
                <w:color w:val="auto"/>
              </w:rPr>
            </w:pPr>
            <w:r>
              <w:rPr>
                <w:rFonts w:ascii="Arial" w:cs="Arial" w:eastAsia="Arial" w:hAnsi="Arial"/>
                <w:sz w:val="16"/>
                <w:szCs w:val="16"/>
                <w:color w:val="auto"/>
              </w:rPr>
              <w:t>11.0%</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Permanent differences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189"/>
        </w:trPr>
        <w:tc>
          <w:tcPr>
            <w:tcW w:w="6500" w:type="dxa"/>
            <w:vAlign w:val="bottom"/>
          </w:tcPr>
          <w:p>
            <w:pPr>
              <w:ind w:left="20"/>
              <w:spacing w:after="0"/>
              <w:rPr>
                <w:sz w:val="20"/>
                <w:szCs w:val="20"/>
                <w:color w:val="auto"/>
              </w:rPr>
            </w:pPr>
            <w:r>
              <w:rPr>
                <w:rFonts w:ascii="Arial" w:cs="Arial" w:eastAsia="Arial" w:hAnsi="Arial"/>
                <w:sz w:val="16"/>
                <w:szCs w:val="16"/>
                <w:color w:val="auto"/>
              </w:rPr>
              <w:t>Tax credits</w:t>
            </w: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Non-taxable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189"/>
        </w:trPr>
        <w:tc>
          <w:tcPr>
            <w:tcW w:w="6500" w:type="dxa"/>
            <w:vAlign w:val="bottom"/>
          </w:tcPr>
          <w:p>
            <w:pPr>
              <w:ind w:left="20"/>
              <w:spacing w:after="0"/>
              <w:rPr>
                <w:sz w:val="20"/>
                <w:szCs w:val="20"/>
                <w:color w:val="auto"/>
              </w:rPr>
            </w:pPr>
            <w:r>
              <w:rPr>
                <w:rFonts w:ascii="Arial" w:cs="Arial" w:eastAsia="Arial" w:hAnsi="Arial"/>
                <w:sz w:val="16"/>
                <w:szCs w:val="16"/>
                <w:color w:val="auto"/>
              </w:rPr>
              <w:t>Valuation allowance</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(33.8)%</w:t>
            </w:r>
          </w:p>
        </w:tc>
        <w:tc>
          <w:tcPr>
            <w:tcW w:w="110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entity tax status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189"/>
        </w:trPr>
        <w:tc>
          <w:tcPr>
            <w:tcW w:w="6500" w:type="dxa"/>
            <w:vAlign w:val="bottom"/>
          </w:tcPr>
          <w:p>
            <w:pPr>
              <w:ind w:left="20"/>
              <w:spacing w:after="0"/>
              <w:rPr>
                <w:sz w:val="20"/>
                <w:szCs w:val="20"/>
                <w:color w:val="auto"/>
              </w:rPr>
            </w:pPr>
            <w:r>
              <w:rPr>
                <w:rFonts w:ascii="Arial" w:cs="Arial" w:eastAsia="Arial" w:hAnsi="Arial"/>
                <w:sz w:val="16"/>
                <w:szCs w:val="16"/>
                <w:color w:val="auto"/>
              </w:rPr>
              <w:t>Other</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(0.7)%</w:t>
            </w: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83"/>
        </w:trPr>
        <w:tc>
          <w:tcPr>
            <w:tcW w:w="65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(0.1)%</w:t>
            </w:r>
          </w:p>
        </w:tc>
      </w:tr>
      <w:tr>
        <w:trPr>
          <w:trHeight w:val="20"/>
        </w:trPr>
        <w:tc>
          <w:tcPr>
            <w:tcW w:w="6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7" w:name="page188"/>
    <w:bookmarkEnd w:id="1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deferred income tax asset balance related to the following:</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r>
      <w:tr>
        <w:trPr>
          <w:trHeight w:val="196"/>
        </w:trPr>
        <w:tc>
          <w:tcPr>
            <w:tcW w:w="65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r>
      <w:tr>
        <w:trPr>
          <w:trHeight w:val="210"/>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89"/>
        </w:trPr>
        <w:tc>
          <w:tcPr>
            <w:tcW w:w="6500" w:type="dxa"/>
            <w:vAlign w:val="bottom"/>
          </w:tcPr>
          <w:p>
            <w:pPr>
              <w:ind w:left="120"/>
              <w:spacing w:after="0"/>
              <w:rPr>
                <w:sz w:val="20"/>
                <w:szCs w:val="20"/>
                <w:color w:val="auto"/>
              </w:rPr>
            </w:pPr>
            <w:r>
              <w:rPr>
                <w:rFonts w:ascii="Arial" w:cs="Arial" w:eastAsia="Arial" w:hAnsi="Arial"/>
                <w:sz w:val="16"/>
                <w:szCs w:val="16"/>
                <w:color w:val="auto"/>
              </w:rPr>
              <w:t>Net operating loss carryforwards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35,187</w:t>
            </w:r>
          </w:p>
        </w:tc>
        <w:tc>
          <w:tcPr>
            <w:tcW w:w="20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28,537</w:t>
            </w: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Lease liability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5,127</w:t>
            </w:r>
          </w:p>
        </w:tc>
      </w:tr>
      <w:tr>
        <w:trPr>
          <w:trHeight w:val="216"/>
        </w:trPr>
        <w:tc>
          <w:tcPr>
            <w:tcW w:w="6500" w:type="dxa"/>
            <w:vAlign w:val="bottom"/>
          </w:tcPr>
          <w:p>
            <w:pPr>
              <w:ind w:left="120"/>
              <w:spacing w:after="0"/>
              <w:rPr>
                <w:sz w:val="20"/>
                <w:szCs w:val="20"/>
                <w:color w:val="auto"/>
              </w:rPr>
            </w:pPr>
            <w:r>
              <w:rPr>
                <w:rFonts w:ascii="Arial" w:cs="Arial" w:eastAsia="Arial" w:hAnsi="Arial"/>
                <w:sz w:val="16"/>
                <w:szCs w:val="16"/>
                <w:color w:val="auto"/>
              </w:rPr>
              <w:t>Accrued expenses &amp; other</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1,530</w:t>
            </w: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&amp; Development (R&amp;D) tax credits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4,211</w:t>
            </w:r>
          </w:p>
        </w:tc>
      </w:tr>
      <w:tr>
        <w:trPr>
          <w:trHeight w:val="216"/>
        </w:trPr>
        <w:tc>
          <w:tcPr>
            <w:tcW w:w="6500" w:type="dxa"/>
            <w:vAlign w:val="bottom"/>
          </w:tcPr>
          <w:p>
            <w:pPr>
              <w:ind w:left="120"/>
              <w:spacing w:after="0"/>
              <w:rPr>
                <w:sz w:val="20"/>
                <w:szCs w:val="20"/>
                <w:color w:val="auto"/>
              </w:rPr>
            </w:pPr>
            <w:r>
              <w:rPr>
                <w:rFonts w:ascii="Arial" w:cs="Arial" w:eastAsia="Arial" w:hAnsi="Arial"/>
                <w:sz w:val="16"/>
                <w:szCs w:val="16"/>
                <w:color w:val="auto"/>
              </w:rPr>
              <w:t>Capitalized R&amp;D expenses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28,693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based compensation</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r>
      <w:tr>
        <w:trPr>
          <w:trHeight w:val="189"/>
        </w:trPr>
        <w:tc>
          <w:tcPr>
            <w:tcW w:w="65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Amortization</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4,304</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r>
      <w:tr>
        <w:trPr>
          <w:trHeight w:val="183"/>
        </w:trPr>
        <w:tc>
          <w:tcPr>
            <w:tcW w:w="6500" w:type="dxa"/>
            <w:vAlign w:val="bottom"/>
            <w:shd w:val="clear" w:color="auto" w:fill="CCEEFF"/>
          </w:tcPr>
          <w:p>
            <w:pPr>
              <w:ind w:left="220"/>
              <w:spacing w:after="0" w:line="183" w:lineRule="exact"/>
              <w:rPr>
                <w:sz w:val="20"/>
                <w:szCs w:val="20"/>
                <w:color w:val="auto"/>
              </w:rPr>
            </w:pPr>
            <w:r>
              <w:rPr>
                <w:rFonts w:ascii="Arial" w:cs="Arial" w:eastAsia="Arial" w:hAnsi="Arial"/>
                <w:sz w:val="16"/>
                <w:szCs w:val="16"/>
                <w:color w:val="auto"/>
              </w:rPr>
              <w:t>Total deferred tax assets</w:t>
            </w: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89,767</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41,634</w:t>
            </w:r>
          </w:p>
        </w:tc>
      </w:tr>
      <w:tr>
        <w:trPr>
          <w:trHeight w:val="183"/>
        </w:trPr>
        <w:tc>
          <w:tcPr>
            <w:tcW w:w="650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Valuation allowance</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(78,469)</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(34,262)</w:t>
            </w:r>
          </w:p>
        </w:tc>
      </w:tr>
      <w:tr>
        <w:trPr>
          <w:trHeight w:val="183"/>
        </w:trPr>
        <w:tc>
          <w:tcPr>
            <w:tcW w:w="6500" w:type="dxa"/>
            <w:vAlign w:val="bottom"/>
            <w:shd w:val="clear" w:color="auto" w:fill="CCEEFF"/>
          </w:tcPr>
          <w:p>
            <w:pPr>
              <w:ind w:left="220"/>
              <w:spacing w:after="0" w:line="183" w:lineRule="exact"/>
              <w:rPr>
                <w:sz w:val="20"/>
                <w:szCs w:val="20"/>
                <w:color w:val="auto"/>
              </w:rPr>
            </w:pPr>
            <w:r>
              <w:rPr>
                <w:rFonts w:ascii="Arial" w:cs="Arial" w:eastAsia="Arial" w:hAnsi="Arial"/>
                <w:sz w:val="16"/>
                <w:szCs w:val="16"/>
                <w:color w:val="auto"/>
              </w:rPr>
              <w:t>Net deferred tax assets</w:t>
            </w: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11,298</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7,372</w:t>
            </w:r>
          </w:p>
        </w:tc>
      </w:tr>
      <w:tr>
        <w:trPr>
          <w:trHeight w:val="183"/>
        </w:trPr>
        <w:tc>
          <w:tcPr>
            <w:tcW w:w="6500" w:type="dxa"/>
            <w:vAlign w:val="bottom"/>
          </w:tcPr>
          <w:p>
            <w:pPr>
              <w:ind w:left="20"/>
              <w:spacing w:after="0" w:line="183" w:lineRule="exact"/>
              <w:rPr>
                <w:sz w:val="20"/>
                <w:szCs w:val="20"/>
                <w:color w:val="auto"/>
              </w:rPr>
            </w:pPr>
            <w:r>
              <w:rPr>
                <w:rFonts w:ascii="Arial" w:cs="Arial" w:eastAsia="Arial" w:hAnsi="Arial"/>
                <w:sz w:val="16"/>
                <w:szCs w:val="16"/>
                <w:color w:val="auto"/>
              </w:rPr>
              <w:t>Deferred tax liability</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9"/>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(2,264)</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w:t>
            </w:r>
          </w:p>
        </w:tc>
      </w:tr>
      <w:tr>
        <w:trPr>
          <w:trHeight w:val="189"/>
        </w:trPr>
        <w:tc>
          <w:tcPr>
            <w:tcW w:w="6500" w:type="dxa"/>
            <w:vAlign w:val="bottom"/>
          </w:tcPr>
          <w:p>
            <w:pPr>
              <w:ind w:left="120"/>
              <w:spacing w:after="0"/>
              <w:rPr>
                <w:sz w:val="20"/>
                <w:szCs w:val="20"/>
                <w:color w:val="auto"/>
              </w:rPr>
            </w:pPr>
            <w:r>
              <w:rPr>
                <w:rFonts w:ascii="Arial" w:cs="Arial" w:eastAsia="Arial" w:hAnsi="Arial"/>
                <w:sz w:val="16"/>
                <w:szCs w:val="16"/>
                <w:color w:val="auto"/>
              </w:rPr>
              <w:t>Right-of-use asset</w:t>
            </w:r>
          </w:p>
        </w:tc>
        <w:tc>
          <w:tcPr>
            <w:tcW w:w="2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(9,039)</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(4,006)</w:t>
            </w:r>
          </w:p>
        </w:tc>
      </w:tr>
      <w:tr>
        <w:trPr>
          <w:trHeight w:val="183"/>
        </w:trPr>
        <w:tc>
          <w:tcPr>
            <w:tcW w:w="6500" w:type="dxa"/>
            <w:vAlign w:val="bottom"/>
            <w:tcBorders>
              <w:top w:val="single" w:sz="8" w:color="CCEEFF"/>
            </w:tcBorders>
            <w:shd w:val="clear" w:color="auto" w:fill="CCEEFF"/>
          </w:tcPr>
          <w:p>
            <w:pPr>
              <w:ind w:left="220"/>
              <w:spacing w:after="0" w:line="183" w:lineRule="exact"/>
              <w:rPr>
                <w:sz w:val="20"/>
                <w:szCs w:val="20"/>
                <w:color w:val="auto"/>
              </w:rPr>
            </w:pPr>
            <w:r>
              <w:rPr>
                <w:rFonts w:ascii="Arial" w:cs="Arial" w:eastAsia="Arial" w:hAnsi="Arial"/>
                <w:sz w:val="16"/>
                <w:szCs w:val="16"/>
                <w:color w:val="auto"/>
              </w:rPr>
              <w:t>Total deferred tax liabilities</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(11,303)</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(7,372)</w:t>
            </w:r>
          </w:p>
        </w:tc>
      </w:tr>
      <w:tr>
        <w:trPr>
          <w:trHeight w:val="183"/>
        </w:trPr>
        <w:tc>
          <w:tcPr>
            <w:tcW w:w="6500" w:type="dxa"/>
            <w:vAlign w:val="bottom"/>
          </w:tcPr>
          <w:p>
            <w:pPr>
              <w:ind w:left="220"/>
              <w:spacing w:after="0" w:line="183" w:lineRule="exact"/>
              <w:rPr>
                <w:sz w:val="20"/>
                <w:szCs w:val="20"/>
                <w:color w:val="auto"/>
              </w:rPr>
            </w:pPr>
            <w:r>
              <w:rPr>
                <w:rFonts w:ascii="Arial" w:cs="Arial" w:eastAsia="Arial" w:hAnsi="Arial"/>
                <w:sz w:val="16"/>
                <w:szCs w:val="16"/>
                <w:color w:val="auto"/>
              </w:rPr>
              <w:t>Net deferred tax liability</w:t>
            </w:r>
          </w:p>
        </w:tc>
        <w:tc>
          <w:tcPr>
            <w:tcW w:w="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w:t>
            </w:r>
          </w:p>
        </w:tc>
        <w:tc>
          <w:tcPr>
            <w:tcW w:w="20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2022, the Company had an indefinite-lived federal net operating loss carryforward 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$104,300. As of December 31, 2022, the Company has state and local NOL carryforwards of $109,700 and</w:t>
      </w:r>
    </w:p>
    <w:p>
      <w:pPr>
        <w:ind w:left="60"/>
        <w:spacing w:after="0" w:line="234" w:lineRule="auto"/>
        <w:rPr>
          <w:sz w:val="20"/>
          <w:szCs w:val="20"/>
          <w:color w:val="auto"/>
        </w:rPr>
      </w:pPr>
      <w:r>
        <w:rPr>
          <w:rFonts w:ascii="Arial" w:cs="Arial" w:eastAsia="Arial" w:hAnsi="Arial"/>
          <w:sz w:val="18"/>
          <w:szCs w:val="18"/>
          <w:color w:val="auto"/>
        </w:rPr>
        <w:t>$152,800, respectively. The state net operating loss carryforwards will begin to expire in 2039. As of December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 2022, the Company also has federal tax credits of $5,351, which begin to expire in 2039.</w:t>
      </w:r>
    </w:p>
    <w:p>
      <w:pPr>
        <w:spacing w:after="0" w:line="19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Future realization of the tax benefits of existing temporary differences and net operating loss carryforwards ultimately depends on the existence of sufficient taxable income within the carryforward period. As of December 31, 2022 and 2021,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against its net US DTAs as of December 31, 2022 and 2021.</w:t>
      </w:r>
    </w:p>
    <w:p>
      <w:pPr>
        <w:spacing w:after="0" w:line="18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The Company has not completed a study to assess whether an “ownership change” has occurred or whether there have been multiple ownership changes since it became a “loss corporation” as defined in Section 382. Future changes in the Company's stock ownership, which may be outside of our control, may trigger an “ownership change.” In addition, future equity offerings or acquisitions that have equity as a component of the purchase price could result in an “ownership change.” If an “ownership change” has occurred or does occur in the future, utilization of the NOL carryforwards or other tax attributes may be limited, which could potentially result in increased future tax liability to the Company.</w:t>
      </w:r>
    </w:p>
    <w:p>
      <w:pPr>
        <w:spacing w:after="0" w:line="18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which are comprised principally of net operating loss and research and development tax credit carryforwards. Under the applicable accounting standards, management has considered the Company’s history of losses and concluded that it is more likely than not that the Company will not recognize the benefits of federal and state deferred tax assets. Accordingly, a full valuation allowance was maintained against the Company's net US DTAs as of December 31, 2022 and 2021. A change in the Company’s valuation allowance was recorded in 2022, in the amount of $44,207 due primarily to the generation of additional net operating losses and the associated gross deferred tax assets.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8" w:name="page189"/>
    <w:bookmarkEnd w:id="1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Tax Cuts and Jobs Act (TCJA) resulted in significant changes to the treatment of research and developmental (R&amp;D) expenditures under Section 174. For tax years beginning after December 31, 2021, taxpayers are required to capitalize and amortize all R&amp;D expenditures that are paid or incurred in connection with their trade or business. Specifically, costs for U.S.-based R&amp;D activities must be amortized over five years and costs for foreign R&amp;D activities must be amortized over 15 years—both using a midyear convention. During the year ended December 31, 2022, the Company capitalized $101,600 of R&amp;D expenses.</w:t>
      </w:r>
    </w:p>
    <w:p>
      <w:pPr>
        <w:spacing w:after="0" w:line="17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calculation of the Company's tax liabilities involves dealing with uncertainties in the application of complex tax laws and regulations for both federal taxes and the many states in which we operate or do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7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 records uncertain tax positions as liabilities in accordance with ASC 740 and adjust these liabilities when its judgment changes as a result of the evaluation of new information not previously available. Because of the complexity of some of these uncertainties, the ultimate resolution may result in a payment that is materially different from its current estimate of the unrecognized tax benefit liabilities. These differences will be reflected as increases or decreases to income tax expense in the period in which new information is available. As of December 31, 2022 and 2021, the Company has not recorded any uncertain tax positions in its financial statements.</w:t>
      </w:r>
    </w:p>
    <w:p>
      <w:pPr>
        <w:spacing w:after="0" w:line="185"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The Company recognizes interest and penalties related to unrecognized tax benefits on the income tax expense line in the accompanying consolidated statement of operations. As of December 31, 2022 and 2021, no accrued interest or penalties are recorded.</w:t>
      </w:r>
    </w:p>
    <w:p>
      <w:pPr>
        <w:spacing w:after="0" w:line="169" w:lineRule="exact"/>
        <w:rPr>
          <w:sz w:val="20"/>
          <w:szCs w:val="20"/>
          <w:color w:val="auto"/>
        </w:rPr>
      </w:pPr>
    </w:p>
    <w:p>
      <w:pPr>
        <w:ind w:left="60" w:right="379"/>
        <w:spacing w:after="0" w:line="244"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years are still open under statute from December 31, 2019, to the present. The resolution of tax matters is not expected to have a material effect on the Company's consolidated financial statements.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15—Basic and diluted net loss per common share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Basic and diluted net loss per common share is calculated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7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Year Ended</w:t>
            </w: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19"/>
              <w:spacing w:after="0"/>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(130,932)</w:t>
            </w:r>
          </w:p>
        </w:tc>
        <w:tc>
          <w:tcPr>
            <w:tcW w:w="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(95,824)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2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Weighted-average common shares for basic and diluted net loss per</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57,755,842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32,392,554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The Company’s potentially dilutive securities, which include the convertible preferred stock, restricted stock, warrants, early exercised stock options and stock options to purchase shares of the Company’s common stock, have been excluded from the computation of dilutive net loss per share as the effect would be antidilutive. Therefore, the weighted- average number of shares of common stock outstanding used to calculate both basic and diluted net loss per share is the same. The Company excluded the following potential shares of common stock presented based on amounts outstanding at each stated period end, from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9" w:name="page190"/>
    <w:bookmarkEnd w:id="1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659"/>
        <w:spacing w:after="0" w:line="271" w:lineRule="auto"/>
        <w:rPr>
          <w:sz w:val="20"/>
          <w:szCs w:val="20"/>
          <w:color w:val="auto"/>
        </w:rPr>
      </w:pPr>
      <w:r>
        <w:rPr>
          <w:rFonts w:ascii="Arial" w:cs="Arial" w:eastAsia="Arial" w:hAnsi="Arial"/>
          <w:sz w:val="18"/>
          <w:szCs w:val="18"/>
          <w:color w:val="auto"/>
        </w:rPr>
        <w:t>the computation of diluted net loss per share for the years ended December 31, 2022 and 2021 because including them would have had an anti-dilutive effect.</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3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color w:val="auto"/>
              </w:rPr>
              <w:t>Year Ended</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Year Ended</w:t>
            </w:r>
          </w:p>
        </w:tc>
      </w:tr>
      <w:tr>
        <w:trPr>
          <w:trHeight w:val="162"/>
        </w:trPr>
        <w:tc>
          <w:tcPr>
            <w:tcW w:w="6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color w:val="auto"/>
              </w:rPr>
              <w:t>December 31,</w:t>
            </w:r>
          </w:p>
        </w:tc>
        <w:tc>
          <w:tcPr>
            <w:tcW w:w="1200" w:type="dxa"/>
            <w:vAlign w:val="bottom"/>
          </w:tcPr>
          <w:p>
            <w:pPr>
              <w:jc w:val="right"/>
              <w:ind w:right="17"/>
              <w:spacing w:after="0"/>
              <w:rPr>
                <w:sz w:val="20"/>
                <w:szCs w:val="20"/>
                <w:color w:val="auto"/>
              </w:rPr>
            </w:pPr>
            <w:r>
              <w:rPr>
                <w:rFonts w:ascii="Arial" w:cs="Arial" w:eastAsia="Arial" w:hAnsi="Arial"/>
                <w:sz w:val="14"/>
                <w:szCs w:val="14"/>
                <w:color w:val="auto"/>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7,489,678</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5,678,604</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Early exercised stock options subject to future vesting</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470,800</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946,586</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 subject to future vesting</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193,031</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681,789</w:t>
            </w:r>
          </w:p>
        </w:tc>
      </w:tr>
      <w:tr>
        <w:trPr>
          <w:trHeight w:val="203"/>
        </w:trPr>
        <w:tc>
          <w:tcPr>
            <w:tcW w:w="63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Warrants</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32,009</w:t>
            </w:r>
          </w:p>
        </w:tc>
        <w:tc>
          <w:tcPr>
            <w:tcW w:w="1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32,009</w:t>
            </w:r>
          </w:p>
        </w:tc>
      </w:tr>
      <w:tr>
        <w:trPr>
          <w:trHeight w:val="196"/>
        </w:trPr>
        <w:tc>
          <w:tcPr>
            <w:tcW w:w="6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8,185,518</w:t>
            </w: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7,338,988</w:t>
            </w:r>
          </w:p>
        </w:tc>
      </w:tr>
      <w:tr>
        <w:trPr>
          <w:trHeight w:val="20"/>
        </w:trPr>
        <w:tc>
          <w:tcPr>
            <w:tcW w:w="6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16—Defined contribution plan</w:t>
      </w:r>
    </w:p>
    <w:p>
      <w:pPr>
        <w:spacing w:after="0" w:line="21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 has a 401(k) Employee Savings Plan (“401(k) Plan”) that is available to all employees of the Company. The Company has elected a Safe-Harbor provision for the 401(k) Plan in which participants are always fully vested in their employer contributions. The Company matches 100% of the first 3% of participating employee contributions and 50% of the next 2% of participating employee contributions. Contributions are made in cash. Contributions were approximately $862 and $536 for the year ended December 31, 2022 and 2021 respectively. Such contribution expense has been recognized in the consolidated statement of operations for each period.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17—Stock-based compensation</w:t>
      </w:r>
    </w:p>
    <w:p>
      <w:pPr>
        <w:spacing w:after="0" w:line="214"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As part of the merger discussed in Note 2 above, the Company adopted from Prior Century, the 2018 Stock Option and Grant Plan (the “Plan”). The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Plan, options may be granted at an exercise price not less than fair market value.</w:t>
      </w:r>
    </w:p>
    <w:p>
      <w:pPr>
        <w:spacing w:after="0" w:line="17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For performance-based awards, the Company reassesses at each reporting date whether achievement of the performance condition is probable and accrues compensation expense if and when achievement of the performance condition is probable. On June 17, 2021, this plan was replaced by the Century Therapeutics, Inc. 2021 Equity Incentive Plan (the “2021 Incentive Plan”) and future issuances of incentive awards will be governed by that plan.</w:t>
      </w:r>
    </w:p>
    <w:p>
      <w:pPr>
        <w:spacing w:after="0" w:line="38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w:t>
      </w:r>
    </w:p>
    <w:p>
      <w:pPr>
        <w:spacing w:after="0" w:line="174"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The 2021 Employee Stock Purchase Plan (the “2021 ESPP”) was approved by the board of directors on May 27, 2021. A total of 564,071 shares of common stock were initially reserved for issuance under this plan. No shares are issued or outstanding under the 2021 ESPP.</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0" w:name="page191"/>
    <w:bookmarkEnd w:id="1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On January 1, 2022, the Company was authorized to issue an additional 2,750,276 shares of Common Stock under the 2021 Incentive Plan and an additional 550,055 shares of Common Stock under the 2021 ESPP pursuant to “evergreen” provisions contained in each of the 2021 Incentive Plan and 2021 ESPP.</w:t>
      </w:r>
    </w:p>
    <w:p>
      <w:pPr>
        <w:spacing w:after="0" w:line="16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recognizes the costs of the stock-based payments as the employees vest in the awards. For the year ended December 31, 2022, the Company recognized $10,669 of stock-based compensation expense of which $4,954 was general and administrative expense and $5,715 was research and development expenses recorded within the consolidated statement of operations and comprehensive loss. For the year ended December 31, 2021, the Company recognized $4,662 of stock-based compensation expense of which $2,357 was general and administrative expense and $2,305 was research and development expenses recorded within the consolidated statement of operations and comprehensive loss.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year ended December 31, 2022:</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8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gridSpan w:val="3"/>
          </w:tcPr>
          <w:p>
            <w:pPr>
              <w:jc w:val="right"/>
              <w:ind w:right="297"/>
              <w:spacing w:after="0"/>
              <w:rPr>
                <w:sz w:val="20"/>
                <w:szCs w:val="20"/>
                <w:color w:val="auto"/>
              </w:rPr>
            </w:pPr>
            <w:r>
              <w:rPr>
                <w:rFonts w:ascii="Arial" w:cs="Arial" w:eastAsia="Arial" w:hAnsi="Arial"/>
                <w:sz w:val="14"/>
                <w:szCs w:val="14"/>
                <w:color w:val="auto"/>
              </w:rPr>
              <w:t>Weighted Average</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Remaining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Contractual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Term</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Shares</w:t>
            </w:r>
          </w:p>
        </w:tc>
        <w:tc>
          <w:tcPr>
            <w:tcW w:w="1300" w:type="dxa"/>
            <w:vAlign w:val="bottom"/>
            <w:gridSpan w:val="4"/>
          </w:tcPr>
          <w:p>
            <w:pPr>
              <w:ind w:left="160"/>
              <w:spacing w:after="0"/>
              <w:rPr>
                <w:sz w:val="20"/>
                <w:szCs w:val="20"/>
                <w:color w:val="auto"/>
              </w:rPr>
            </w:pPr>
            <w:r>
              <w:rPr>
                <w:rFonts w:ascii="Arial" w:cs="Arial" w:eastAsia="Arial" w:hAnsi="Arial"/>
                <w:sz w:val="14"/>
                <w:szCs w:val="14"/>
                <w:color w:val="auto"/>
              </w:rPr>
              <w:t>Exercise Price</w:t>
            </w:r>
          </w:p>
        </w:tc>
        <w:tc>
          <w:tcPr>
            <w:tcW w:w="760" w:type="dxa"/>
            <w:vAlign w:val="bottom"/>
          </w:tcPr>
          <w:p>
            <w:pPr>
              <w:jc w:val="right"/>
              <w:spacing w:after="0"/>
              <w:rPr>
                <w:sz w:val="20"/>
                <w:szCs w:val="20"/>
                <w:color w:val="auto"/>
              </w:rPr>
            </w:pPr>
            <w:r>
              <w:rPr>
                <w:rFonts w:ascii="Arial" w:cs="Arial" w:eastAsia="Arial" w:hAnsi="Arial"/>
                <w:sz w:val="14"/>
                <w:szCs w:val="14"/>
                <w:color w:val="auto"/>
              </w:rPr>
              <w:t>(years)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January 1, 2022</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5,678,604</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5.36</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8.35</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2,550,270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12.40</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(342,833)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(301,877)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8.43</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(94,486)</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Outstanding, December 31, 2022</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7,489,678</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7.77</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7.84</w:t>
            </w:r>
          </w:p>
        </w:tc>
        <w:tc>
          <w:tcPr>
            <w:tcW w:w="1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8,991</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Exercisable at December 31, 2022</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3,212,790</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7.34</w:t>
            </w:r>
          </w:p>
        </w:tc>
        <w:tc>
          <w:tcPr>
            <w:tcW w:w="1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weighted average grant date fair value of awards for options granted during the period ended December 31, 2022 was $8.13. As of December 31, 2022, there was $26,645 of total unrecognized compensation expense related to unvested stock options with time-based vesting terms, which is expected to be recognized over a weighted average period of 2.61 years. The aggregate intrinsic value of options vested and exercisable as of December 31, 2022 and 2021 is calculated based on the difference between the exercise price and the fair value of our common stock. The intrinsic value of options exercised in 2022 and 2021 was $6,864 and $2,400, respectively.</w:t>
      </w:r>
    </w:p>
    <w:p>
      <w:pPr>
        <w:spacing w:after="0" w:line="18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During 2020, the Company issued 213,624 performance-based awards that vest upon contingent events. The performance condition for these awards were achieved as of June 30, 2021. As a result, the Company recorded compensation expense related to the performance-based awards of $227 during the year ended December 31, 2021.</w:t>
      </w:r>
    </w:p>
    <w:p>
      <w:pPr>
        <w:spacing w:after="0" w:line="174"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When selecting these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will continue to apply this process until a sufficient amount of historical information regarding the volatility of its own stock price becomes available.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1" w:name="page192"/>
    <w:bookmarkEnd w:id="1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The Company accounts for actual forfeitures as they occur.</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860" w:type="dxa"/>
            <w:vAlign w:val="bottom"/>
            <w:tcBorders>
              <w:top w:val="single" w:sz="8" w:color="auto"/>
            </w:tcBorders>
          </w:tcPr>
          <w:p>
            <w:pPr>
              <w:spacing w:after="0"/>
              <w:rPr>
                <w:sz w:val="15"/>
                <w:szCs w:val="15"/>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 2022</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dividend rate</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Expected option term (years)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6.06</w:t>
            </w: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160" w:type="dxa"/>
            <w:vAlign w:val="bottom"/>
          </w:tcPr>
          <w:p>
            <w:pPr>
              <w:spacing w:after="0"/>
              <w:rPr>
                <w:sz w:val="17"/>
                <w:szCs w:val="17"/>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73.52 %</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69.73 %</w:t>
            </w:r>
          </w:p>
        </w:tc>
      </w:tr>
      <w:tr>
        <w:trPr>
          <w:trHeight w:val="239"/>
        </w:trPr>
        <w:tc>
          <w:tcPr>
            <w:tcW w:w="5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2.04 %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1.08 %</w:t>
            </w:r>
          </w:p>
        </w:tc>
      </w:tr>
    </w:tbl>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for the year ended December 31, 2022:</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6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r>
      <w:tr>
        <w:trPr>
          <w:trHeight w:val="171"/>
        </w:trPr>
        <w:tc>
          <w:tcPr>
            <w:tcW w:w="6260" w:type="dxa"/>
            <w:vAlign w:val="bottom"/>
          </w:tcPr>
          <w:p>
            <w:pPr>
              <w:spacing w:after="0"/>
              <w:rPr>
                <w:sz w:val="14"/>
                <w:szCs w:val="14"/>
                <w:color w:val="auto"/>
              </w:rPr>
            </w:pPr>
          </w:p>
        </w:tc>
        <w:tc>
          <w:tcPr>
            <w:tcW w:w="1140" w:type="dxa"/>
            <w:vAlign w:val="bottom"/>
            <w:gridSpan w:val="2"/>
          </w:tcPr>
          <w:p>
            <w:pPr>
              <w:ind w:left="48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Grant Date Fair Value</w:t>
            </w: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Unvested December 31, 2021</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681,789</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w:t>
            </w: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(488,758)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r>
      <w:tr>
        <w:trPr>
          <w:trHeight w:val="196"/>
        </w:trPr>
        <w:tc>
          <w:tcPr>
            <w:tcW w:w="6260" w:type="dxa"/>
            <w:vAlign w:val="bottom"/>
          </w:tcPr>
          <w:p>
            <w:pPr>
              <w:spacing w:after="0" w:line="196" w:lineRule="exact"/>
              <w:rPr>
                <w:sz w:val="20"/>
                <w:szCs w:val="20"/>
                <w:color w:val="auto"/>
              </w:rPr>
            </w:pPr>
            <w:r>
              <w:rPr>
                <w:rFonts w:ascii="Arial" w:cs="Arial" w:eastAsia="Arial" w:hAnsi="Arial"/>
                <w:sz w:val="18"/>
                <w:szCs w:val="18"/>
                <w:color w:val="auto"/>
              </w:rPr>
              <w:t>Total Unvested December 31, 2022</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193,031</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8.41</w:t>
            </w:r>
          </w:p>
        </w:tc>
      </w:tr>
      <w:tr>
        <w:trPr>
          <w:trHeight w:val="20"/>
        </w:trPr>
        <w:tc>
          <w:tcPr>
            <w:tcW w:w="6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certain stock purchase agreements containing vesting and other provisions, the Company has the right to repurchase unvested shares.</w:t>
      </w:r>
    </w:p>
    <w:p>
      <w:pPr>
        <w:spacing w:after="0" w:line="154"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As of December 31, 2022, there was $1,735 of total unrecognized compensation expense related to the unvested restricted stock with time-based vesting terms, which is expected to be recognized over a weighted average period of 1.33 years. All restricted stock vests over a four-year period.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21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As part of the merger, the Company assumed a deposit liability from Prior Century. Certain equity award holders early exercised unvested equity awards. The cash received upon early exercise of options is recorded as a deposit liability on the Company’s balance sheet, totaling $1,584 and $3,000 as of December 31, 2022 and 2021,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18—Related party transactions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License and Collaboration Agreements with Shareholder</w:t>
      </w:r>
    </w:p>
    <w:p>
      <w:pPr>
        <w:spacing w:after="0" w:line="212"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As part of the Commitment Agreement, the Company acquired licenses and other contracts from Prior Century that were originally entered into by Prior Century and FUJIFILM Cellular Dynamics, Inc. (“FCDI”). FCDI is a shareholder of Century. The acquired licenses and other contracts with FCDI are as follows: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Licenses</w:t>
      </w:r>
    </w:p>
    <w:p>
      <w:pPr>
        <w:spacing w:after="0" w:line="21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2" w:name="page193"/>
    <w:bookmarkEnd w:id="1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color w:val="auto"/>
        </w:rPr>
        <w:t>The Company also acquired from Prior Century an exclusive license agreement with FCDI. The license provides the Company with patents and know-how related to human iPSC exclusively manufactured by FCDI.</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potential development and regulatory milestone payments to be paid by the Company to FCDI are $6,000.</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Collaboration Agreement</w:t>
      </w:r>
    </w:p>
    <w:p>
      <w:pPr>
        <w:spacing w:after="0" w:line="210"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auto"/>
        </w:rPr>
        <w:t>In October 2019, the Company entered into the FCDI Collaboration Agreement with FCDI, whereby FCDI will provide certain services to the Company to develop and manufacture iPSCs and immune cells derived therefrom. FCDI will provide services in accordance with the approved research plan and related research budget. The initial research plan covers the period from the date of execution of the FCDI Collaboration Agreement through March 31, 2022. On July 29, 2022 we amended the FCDI Collaboration Agreement to extend the term through September 30, 2025.</w:t>
      </w:r>
    </w:p>
    <w:p>
      <w:pPr>
        <w:spacing w:after="0" w:line="17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On March 23, 2021, the Company entered into a Manufacturing Agreement with FCDI, or the Manufacturing Agreement, pursuant to which FCDI will provide certain agreed upon technology transfer, process development, analytical testing and cGMP manufacturing services to the Company.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January 7, 2022, the Company and FCDI entered into a letter agreement (the “Letter Agreement”), which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amends each of the FCDI Agreements pursuant to the Company’s Research Collaboration and License</w:t>
      </w:r>
    </w:p>
    <w:p>
      <w:pPr>
        <w:ind w:left="60"/>
        <w:spacing w:after="0" w:line="234" w:lineRule="auto"/>
        <w:rPr>
          <w:sz w:val="20"/>
          <w:szCs w:val="20"/>
          <w:color w:val="auto"/>
        </w:rPr>
      </w:pPr>
      <w:r>
        <w:rPr>
          <w:rFonts w:ascii="Arial" w:cs="Arial" w:eastAsia="Arial" w:hAnsi="Arial"/>
          <w:sz w:val="18"/>
          <w:szCs w:val="18"/>
          <w:color w:val="auto"/>
        </w:rPr>
        <w:t>Agreement with Bristol-Myers Squibb as further discussed in note 18. Pursuant to the Letter Agreement, and in</w:t>
      </w:r>
    </w:p>
    <w:p>
      <w:pPr>
        <w:ind w:left="60"/>
        <w:spacing w:after="0" w:line="235" w:lineRule="auto"/>
        <w:rPr>
          <w:sz w:val="20"/>
          <w:szCs w:val="20"/>
          <w:color w:val="auto"/>
        </w:rPr>
      </w:pPr>
      <w:r>
        <w:rPr>
          <w:rFonts w:ascii="Arial" w:cs="Arial" w:eastAsia="Arial" w:hAnsi="Arial"/>
          <w:sz w:val="18"/>
          <w:szCs w:val="18"/>
          <w:color w:val="auto"/>
        </w:rPr>
        <w:t>consideration for amending the FCDI Agreements, the Company will pay to FCDI (i) an upfront payment of</w:t>
      </w:r>
    </w:p>
    <w:p>
      <w:pPr>
        <w:ind w:left="60"/>
        <w:spacing w:after="0" w:line="235" w:lineRule="auto"/>
        <w:rPr>
          <w:sz w:val="20"/>
          <w:szCs w:val="20"/>
          <w:color w:val="auto"/>
        </w:rPr>
      </w:pPr>
      <w:r>
        <w:rPr>
          <w:rFonts w:ascii="Arial" w:cs="Arial" w:eastAsia="Arial" w:hAnsi="Arial"/>
          <w:sz w:val="18"/>
          <w:szCs w:val="18"/>
          <w:color w:val="auto"/>
        </w:rPr>
        <w:t>$10,000, (ii) a percentage of any milestone payments received by the Company under the FCDI Collaboration</w:t>
      </w:r>
    </w:p>
    <w:p>
      <w:pPr>
        <w:ind w:left="60"/>
        <w:spacing w:after="0" w:line="235" w:lineRule="auto"/>
        <w:rPr>
          <w:sz w:val="20"/>
          <w:szCs w:val="20"/>
          <w:color w:val="auto"/>
        </w:rPr>
      </w:pPr>
      <w:r>
        <w:rPr>
          <w:rFonts w:ascii="Arial" w:cs="Arial" w:eastAsia="Arial" w:hAnsi="Arial"/>
          <w:sz w:val="18"/>
          <w:szCs w:val="18"/>
          <w:color w:val="auto"/>
        </w:rPr>
        <w:t>Agreement in respect of achievement of development or regulatory milestones specific to Japan, and (iii) a</w:t>
      </w:r>
    </w:p>
    <w:p>
      <w:pPr>
        <w:ind w:left="60"/>
        <w:spacing w:after="0" w:line="235" w:lineRule="auto"/>
        <w:rPr>
          <w:sz w:val="20"/>
          <w:szCs w:val="20"/>
          <w:color w:val="auto"/>
        </w:rPr>
      </w:pPr>
      <w:r>
        <w:rPr>
          <w:rFonts w:ascii="Arial" w:cs="Arial" w:eastAsia="Arial" w:hAnsi="Arial"/>
          <w:sz w:val="18"/>
          <w:szCs w:val="18"/>
          <w:color w:val="auto"/>
        </w:rPr>
        <w:t>percentage of all royalties received by the Company under the FCDI Collaboration Agreement in respect of</w:t>
      </w:r>
    </w:p>
    <w:p>
      <w:pPr>
        <w:ind w:left="60"/>
        <w:spacing w:after="0"/>
        <w:rPr>
          <w:sz w:val="20"/>
          <w:szCs w:val="20"/>
          <w:color w:val="auto"/>
        </w:rPr>
      </w:pPr>
      <w:r>
        <w:rPr>
          <w:rFonts w:ascii="Arial" w:cs="Arial" w:eastAsia="Arial" w:hAnsi="Arial"/>
          <w:sz w:val="18"/>
          <w:szCs w:val="18"/>
          <w:color w:val="auto"/>
        </w:rPr>
        <w:t>sales of products in Japan.</w:t>
      </w:r>
    </w:p>
    <w:p>
      <w:pPr>
        <w:spacing w:after="0" w:line="194"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During the years ended December 31, 2022 and 2021, the Company made payments of $5,100 and $ 16,200 and incurred research and development expenses of $4,900 and $16,700, and legal fees of $200 and $83, respectively, related to the FCDI agreements, recorded within general and administrative expenses in its consolidated statements of operations and comprehensive loss. As of December 31, 2022 and 2021, there was $0 and $2,400, respectively, in accounts payable related to the FCDI agreements on the consolidated balance sheets.</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Consulting Arrangements with Shareholders</w:t>
      </w:r>
    </w:p>
    <w:p>
      <w:pPr>
        <w:spacing w:after="0" w:line="210"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In 2019, the Company entered into arrangements with two shareholders of the Company, wherein the shareholders provide consulting services to the Company. As compensation for the consulting services, the shareholders are entitled to an annual retainer fee, payable quarterly, along with payment of reasonable expenses associated with providing the consulting services. The Company paid $196 and $75 related to these consulting arrangements that were included in research and development expenses in the consolidated statements of operations and comprehensive loss for the years ended December 31, 2022 and 2021, respectively. There were no accrued expenses as of December 31, 2022 and 2021.</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19—Subsequent Events</w:t>
      </w:r>
    </w:p>
    <w:p>
      <w:pPr>
        <w:spacing w:after="0" w:line="21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On January 2023, the Company’s Board of Directors approved and management implemented a new portfolio prioritization and capital allocation strategy. The resulting changes include pausing investment in CNTY-103 for glioblastoma as well as a discovery program in hematologic malignancies. The Company will focus on CNTY-101 and will accelerate key programs, including one follow-on candidate for lymphoma, CNTY-102, and CNTY-107 for Nectin-4+ solid tumors. In addition, the Company will continue its partnered programs with Bristol Myers Squibb with no impact to previous guidance on timelines. The restructuring plan resulted in a reduction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3" w:name="page194"/>
    <w:bookmarkEnd w:id="1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in the Company’s workforce of approximately 25%. In addition, lab operations in Seattle and Hamilton will be closed and research activities will be consolidated in Philadelphia.</w:t>
      </w:r>
    </w:p>
    <w:p>
      <w:pPr>
        <w:spacing w:after="0" w:line="14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connection with the restructuring, the Company incurred approximately $ 2,032 of cash-based expenses related to employee severance, benefits and related costs, primarily in the first quarter of 2023. In addition, the Company expects to record a non-cash stock-based compensation charge of approximately $581 related to modification of equity awards for employees impacted by the restructuring.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right="119"/>
        <w:spacing w:after="0" w:line="281"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Disclosure Controls and Procedures</w:t>
      </w:r>
    </w:p>
    <w:p>
      <w:pPr>
        <w:spacing w:after="0" w:line="23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term “disclosure controls and procedures,” as defined in Rules 13a-15(e) and 15d-15(e) of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Chief Executive Officer and Chief Business Officer, evaluated the effectiveness of our disclosure controls and procedures as of the end of the period covered by this Annual Report on Form 10-K. Based on that evaluation, our Chief Executive Officer and our Chief Business Officer concluded that our disclosure controls and procedures were effective as of December 31,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consolidated financial statements for external purposes in accordance with GAAP. Because of its inherent limitations,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applicable policies or procedures may deteriorate.</w:t>
      </w:r>
    </w:p>
    <w:p>
      <w:pPr>
        <w:spacing w:after="0" w:line="180"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Management has assessed the effectiveness of our internal control over financial reporting based on the framework set forth by the Committee of Sponsoring Organizations of the Treadway Commission in Internal Control-Integrated Framework. Based on our evaluation, management has concluded that our internal control over financial reporting was effective as of December 31, 2022. Management reviewed the results of this assessment with our audit committee.</w:t>
      </w:r>
    </w:p>
    <w:p>
      <w:pPr>
        <w:spacing w:after="0" w:line="176"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This Annual Report on Form 10-K does not include an attestation report of our independent registered public accounting firm regarding internal control over financial reporting. For as long as we remain an “emerging growth company” as defined in Section 2(a) of the Securities Act, as modified by the Jumpstart Our Business</w:t>
      </w:r>
    </w:p>
    <w:p>
      <w:pPr>
        <w:sectPr>
          <w:pgSz w:w="11900" w:h="16838" w:orient="portrait"/>
          <w:cols w:equalWidth="0" w:num="1">
            <w:col w:w="9019"/>
          </w:cols>
          <w:pgMar w:left="1440" w:top="513" w:right="1440"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4" w:name="page195"/>
    <w:bookmarkEnd w:id="1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Startups Act of 2012,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419"/>
        <w:spacing w:after="0" w:line="253" w:lineRule="auto"/>
        <w:rPr>
          <w:sz w:val="20"/>
          <w:szCs w:val="20"/>
          <w:color w:val="auto"/>
        </w:rPr>
      </w:pPr>
      <w:r>
        <w:rPr>
          <w:rFonts w:ascii="Arial" w:cs="Arial" w:eastAsia="Arial" w:hAnsi="Arial"/>
          <w:sz w:val="18"/>
          <w:szCs w:val="18"/>
          <w:color w:val="auto"/>
        </w:rPr>
        <w:t>There were no changes to our internal control over financial reporting that occurred during our most recent fiscal quarter that has materially affected, or is reasonably likely to materially affect, our internal control over financial reporting.</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In connection with the effectiveness of new SEC rules regarding universal proxy cards and a periodic review of our Amended and Restated Bylaws, our Board approved and adopted the Second Amended and Restated Bylaws, or the Amended Bylaws, effective March 16, 2023. The amendments address matters relating to Rule 14a-19 under the Exchange Act, or the Universal Proxy Rules, providing, among other things, that:</w:t>
      </w:r>
    </w:p>
    <w:p>
      <w:pPr>
        <w:spacing w:after="0" w:line="174" w:lineRule="exact"/>
        <w:rPr>
          <w:sz w:val="20"/>
          <w:szCs w:val="20"/>
          <w:color w:val="auto"/>
        </w:rPr>
      </w:pPr>
    </w:p>
    <w:p>
      <w:pPr>
        <w:jc w:val="both"/>
        <w:ind w:left="720" w:right="319" w:hanging="319"/>
        <w:spacing w:after="0" w:line="252" w:lineRule="auto"/>
        <w:tabs>
          <w:tab w:leader="none" w:pos="7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a stockholder delivering a notice of nomination must include a representation that it intends to solicit proxies from stockholders representing at least 67% of the voting power of shares entitled to vote on the election of directors;</w:t>
      </w:r>
    </w:p>
    <w:p>
      <w:pPr>
        <w:spacing w:after="0" w:line="170" w:lineRule="exact"/>
        <w:rPr>
          <w:rFonts w:ascii="Times New Roman" w:cs="Times New Roman" w:eastAsia="Times New Roman" w:hAnsi="Times New Roman"/>
          <w:sz w:val="18"/>
          <w:szCs w:val="18"/>
          <w:color w:val="auto"/>
        </w:rPr>
      </w:pPr>
    </w:p>
    <w:p>
      <w:pPr>
        <w:ind w:left="720" w:right="719" w:hanging="319"/>
        <w:spacing w:after="0" w:line="270" w:lineRule="auto"/>
        <w:tabs>
          <w:tab w:leader="none" w:pos="7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a stockholder delivering a notice of nomination must certify to the Company in writing that it has complied with the Universal Proxy Rules requirements;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may disqualify a stockholder’s nomination if such stockholder fails to satisfy the Universal Proxy Rules requirements;</w:t>
      </w:r>
    </w:p>
    <w:p>
      <w:pPr>
        <w:spacing w:after="0" w:line="154" w:lineRule="exact"/>
        <w:rPr>
          <w:rFonts w:ascii="Times New Roman" w:cs="Times New Roman" w:eastAsia="Times New Roman" w:hAnsi="Times New Roman"/>
          <w:sz w:val="18"/>
          <w:szCs w:val="18"/>
          <w:color w:val="auto"/>
        </w:rPr>
      </w:pPr>
    </w:p>
    <w:p>
      <w:pPr>
        <w:ind w:left="720" w:right="359" w:hanging="319"/>
        <w:spacing w:after="0" w:line="252" w:lineRule="auto"/>
        <w:tabs>
          <w:tab w:leader="none" w:pos="7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a stockholder providing notice pursuant to the Company’s advance notice bylaws must inform the Company if the stockholder no longer plans to solicit proxies in accordance with the Universal Proxy Rules; and</w:t>
      </w:r>
    </w:p>
    <w:p>
      <w:pPr>
        <w:spacing w:after="0" w:line="170" w:lineRule="exact"/>
        <w:rPr>
          <w:rFonts w:ascii="Times New Roman" w:cs="Times New Roman" w:eastAsia="Times New Roman" w:hAnsi="Times New Roman"/>
          <w:sz w:val="18"/>
          <w:szCs w:val="18"/>
          <w:color w:val="auto"/>
        </w:rPr>
      </w:pPr>
    </w:p>
    <w:p>
      <w:pPr>
        <w:ind w:left="720" w:right="339" w:hanging="319"/>
        <w:spacing w:after="0" w:line="270" w:lineRule="auto"/>
        <w:tabs>
          <w:tab w:leader="none" w:pos="7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the stockholder to use a proxy card color other than white, which is reserved for the exclusive use of the Board.</w:t>
      </w:r>
    </w:p>
    <w:p>
      <w:pPr>
        <w:spacing w:after="0" w:line="141"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The above description of the Amended Bylaws does not purport to be complete and is qualified in its entirety by reference to the full text of the Amended and Restated Bylaws, which is filed as Exhibit 3.2 hereto and incorporated herein by reference.</w:t>
      </w:r>
    </w:p>
    <w:p>
      <w:pPr>
        <w:spacing w:after="0" w:line="200" w:lineRule="exact"/>
        <w:rPr>
          <w:sz w:val="20"/>
          <w:szCs w:val="20"/>
          <w:color w:val="auto"/>
        </w:rPr>
      </w:pP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5" w:name="page196"/>
    <w:bookmarkEnd w:id="1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information required by Item 11 of Form 10-K is incorporated by reference to the information contained in our definitive proxy statement for the 2023 annual meeting of stockholders.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information required by Item 11 of Form 10-K is incorporated by reference to the information contained in our definitive proxy statement for the 2023 annual meeting of stockholders.</w:t>
      </w:r>
    </w:p>
    <w:p>
      <w:pPr>
        <w:spacing w:after="0" w:line="140" w:lineRule="exact"/>
        <w:rPr>
          <w:sz w:val="20"/>
          <w:szCs w:val="20"/>
          <w:color w:val="auto"/>
        </w:rPr>
      </w:pPr>
    </w:p>
    <w:p>
      <w:pPr>
        <w:ind w:left="60" w:right="759"/>
        <w:spacing w:after="0" w:line="28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6"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information required by Item 12 of Form 10-K is incorporated by reference to the information contained in our definitive proxy statement for the 2023 annual meeting of stockholders.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23"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information required by Item 13 of Form 10-K is incorporated by reference to the information contained in our definitive proxy statement for the 2023 annual meeting of stockholders.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12"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information required by Item 14 of Form 10-K is incorporated by reference to the information contained in our definitive proxy statement for the 2023 annual meeting of stockholders.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6" w:name="page197"/>
    <w:bookmarkEnd w:id="1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(a)(1) Financial Statements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Index to the Consolidated Financial Statements on page F-1 of this Annual Report.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(a)(2) Financial Statement Schedules</w:t>
      </w:r>
    </w:p>
    <w:p>
      <w:pPr>
        <w:spacing w:after="0" w:line="212"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color w:val="auto"/>
        </w:rPr>
        <w:t>None, as all information required in these schedules is included in the Notes to the Consolidated Financial Statements.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(a)(3); (b) Exhibits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as part of this Annual Report on Form 10-K:</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Exhibit</w:t>
            </w:r>
          </w:p>
        </w:tc>
        <w:tc>
          <w:tcPr>
            <w:tcW w:w="2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Number</w:t>
            </w:r>
          </w:p>
        </w:tc>
        <w:tc>
          <w:tcPr>
            <w:tcW w:w="2840" w:type="dxa"/>
            <w:vAlign w:val="bottom"/>
          </w:tcPr>
          <w:p>
            <w:pPr>
              <w:spacing w:after="0"/>
              <w:rPr>
                <w:sz w:val="17"/>
                <w:szCs w:val="17"/>
                <w:color w:val="auto"/>
              </w:rPr>
            </w:pPr>
          </w:p>
        </w:tc>
        <w:tc>
          <w:tcPr>
            <w:tcW w:w="4720" w:type="dxa"/>
            <w:vAlign w:val="bottom"/>
            <w:gridSpan w:val="22"/>
          </w:tcPr>
          <w:p>
            <w:pPr>
              <w:ind w:left="20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56"/>
        </w:trPr>
        <w:tc>
          <w:tcPr>
            <w:tcW w:w="10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w w:val="98"/>
              </w:rPr>
              <w:t>3.1</w:t>
            </w:r>
          </w:p>
        </w:tc>
        <w:tc>
          <w:tcPr>
            <w:tcW w:w="280" w:type="dxa"/>
            <w:vAlign w:val="bottom"/>
          </w:tcPr>
          <w:p>
            <w:pPr>
              <w:spacing w:after="0"/>
              <w:rPr>
                <w:sz w:val="13"/>
                <w:szCs w:val="13"/>
                <w:color w:val="auto"/>
              </w:rPr>
            </w:pPr>
          </w:p>
        </w:tc>
        <w:tc>
          <w:tcPr>
            <w:tcW w:w="7560" w:type="dxa"/>
            <w:vAlign w:val="bottom"/>
            <w:tcBorders>
              <w:top w:val="single" w:sz="8" w:color="auto"/>
            </w:tcBorders>
            <w:gridSpan w:val="23"/>
          </w:tcPr>
          <w:p>
            <w:pPr>
              <w:spacing w:after="0" w:line="155" w:lineRule="exact"/>
              <w:rPr>
                <w:rFonts w:ascii="Arial" w:cs="Arial" w:eastAsia="Arial" w:hAnsi="Arial"/>
                <w:sz w:val="16"/>
                <w:szCs w:val="16"/>
                <w:color w:val="0000EE"/>
              </w:rPr>
            </w:pPr>
            <w:hyperlink r:id="rId259">
              <w:r>
                <w:rPr>
                  <w:rFonts w:ascii="Arial" w:cs="Arial" w:eastAsia="Arial" w:hAnsi="Arial"/>
                  <w:sz w:val="16"/>
                  <w:szCs w:val="16"/>
                  <w:color w:val="0000EE"/>
                </w:rPr>
                <w:t>Second Amended and Restated Certificate of Incorporation (incorporated by reference to Exhibit 3.1 of</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34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r:id="rId259">
              <w:r>
                <w:rPr>
                  <w:rFonts w:ascii="Arial" w:cs="Arial" w:eastAsia="Arial" w:hAnsi="Arial"/>
                  <w:sz w:val="16"/>
                  <w:szCs w:val="16"/>
                  <w:color w:val="0000EE"/>
                </w:rPr>
                <w:t>the Company’s Current Report on Form 8-K (File No. 001-40498) filed on June 25, 2021)</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0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280" w:type="dxa"/>
            <w:vAlign w:val="bottom"/>
          </w:tcPr>
          <w:p>
            <w:pPr>
              <w:spacing w:after="0"/>
              <w:rPr>
                <w:sz w:val="21"/>
                <w:szCs w:val="21"/>
                <w:color w:val="auto"/>
              </w:rPr>
            </w:pPr>
          </w:p>
        </w:tc>
        <w:tc>
          <w:tcPr>
            <w:tcW w:w="63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 xml:space="preserve">Second </w:t>
            </w:r>
            <w:r>
              <w:rPr>
                <w:rFonts w:ascii="Arial" w:cs="Arial" w:eastAsia="Arial" w:hAnsi="Arial"/>
                <w:sz w:val="16"/>
                <w:szCs w:val="16"/>
                <w:color w:val="0000EE"/>
              </w:rPr>
              <w:t>Amended and Restated Bylaws (filed herewith)</w:t>
            </w:r>
          </w:p>
        </w:tc>
        <w:tc>
          <w:tcPr>
            <w:tcW w:w="120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60">
              <w:r>
                <w:rPr>
                  <w:rFonts w:ascii="Arial" w:cs="Arial" w:eastAsia="Arial" w:hAnsi="Arial"/>
                  <w:sz w:val="16"/>
                  <w:szCs w:val="16"/>
                  <w:color w:val="0000EE"/>
                </w:rPr>
                <w:t>Specimen Common Stock Certificate of Registrant (incorporated by reference to Exhibit 4.1 to the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98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r:id="rId260">
              <w:r>
                <w:rPr>
                  <w:rFonts w:ascii="Arial" w:cs="Arial" w:eastAsia="Arial" w:hAnsi="Arial"/>
                  <w:sz w:val="16"/>
                  <w:szCs w:val="16"/>
                  <w:color w:val="0000EE"/>
                </w:rPr>
                <w:t>Company’s Registration Statement on Form S-1/A (File No. 333-256648), dated June 14,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280" w:type="dxa"/>
            <w:vAlign w:val="bottom"/>
          </w:tcPr>
          <w:p>
            <w:pPr>
              <w:spacing w:after="0"/>
              <w:rPr>
                <w:sz w:val="20"/>
                <w:szCs w:val="20"/>
                <w:color w:val="auto"/>
              </w:rPr>
            </w:pPr>
          </w:p>
        </w:tc>
        <w:tc>
          <w:tcPr>
            <w:tcW w:w="7420" w:type="dxa"/>
            <w:vAlign w:val="bottom"/>
            <w:tcBorders>
              <w:bottom w:val="single" w:sz="8" w:color="0000EE"/>
            </w:tcBorders>
            <w:gridSpan w:val="18"/>
          </w:tcPr>
          <w:p>
            <w:pPr>
              <w:spacing w:after="0"/>
              <w:rPr>
                <w:rFonts w:ascii="Arial" w:cs="Arial" w:eastAsia="Arial" w:hAnsi="Arial"/>
                <w:sz w:val="16"/>
                <w:szCs w:val="16"/>
                <w:color w:val="0000EE"/>
              </w:rPr>
            </w:pPr>
            <w:hyperlink r:id="rId261">
              <w:r>
                <w:rPr>
                  <w:rFonts w:ascii="Arial" w:cs="Arial" w:eastAsia="Arial" w:hAnsi="Arial"/>
                  <w:sz w:val="16"/>
                  <w:szCs w:val="16"/>
                  <w:color w:val="0000EE"/>
                </w:rPr>
                <w:t>Description of the Registrant’s Securities Registered Pursuant to Section 12 of the Securities Exchange</w:t>
              </w:r>
            </w:hyperlink>
          </w:p>
        </w:tc>
        <w:tc>
          <w:tcPr>
            <w:tcW w:w="1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60" w:type="dxa"/>
            <w:vAlign w:val="bottom"/>
            <w:gridSpan w:val="23"/>
          </w:tcPr>
          <w:p>
            <w:pPr>
              <w:spacing w:after="0" w:line="169" w:lineRule="exact"/>
              <w:rPr>
                <w:rFonts w:ascii="Arial" w:cs="Arial" w:eastAsia="Arial" w:hAnsi="Arial"/>
                <w:sz w:val="16"/>
                <w:szCs w:val="16"/>
                <w:color w:val="0000EE"/>
              </w:rPr>
            </w:pPr>
            <w:hyperlink r:id="rId261">
              <w:r>
                <w:rPr>
                  <w:rFonts w:ascii="Arial" w:cs="Arial" w:eastAsia="Arial" w:hAnsi="Arial"/>
                  <w:sz w:val="16"/>
                  <w:szCs w:val="16"/>
                  <w:color w:val="0000EE"/>
                </w:rPr>
                <w:t>Act of 1934 (incorporated by reference to Exhibit 4.2 to the Company’s Annual Report on Form 10-K (File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2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261">
              <w:r>
                <w:rPr>
                  <w:rFonts w:ascii="Arial" w:cs="Arial" w:eastAsia="Arial" w:hAnsi="Arial"/>
                  <w:sz w:val="16"/>
                  <w:szCs w:val="16"/>
                  <w:color w:val="0000EE"/>
                </w:rPr>
                <w:t>No. 001-40498), dated March 17, 2022)</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62">
              <w:r>
                <w:rPr>
                  <w:rFonts w:ascii="Arial" w:cs="Arial" w:eastAsia="Arial" w:hAnsi="Arial"/>
                  <w:sz w:val="16"/>
                  <w:szCs w:val="16"/>
                  <w:color w:val="0000EE"/>
                </w:rPr>
                <w:t>Investors’ Rights Agreement, by and among the Registrant and each of the investors listed on Schedule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4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262">
              <w:r>
                <w:rPr>
                  <w:rFonts w:ascii="Arial" w:cs="Arial" w:eastAsia="Arial" w:hAnsi="Arial"/>
                  <w:sz w:val="16"/>
                  <w:szCs w:val="16"/>
                  <w:color w:val="0000EE"/>
                </w:rPr>
                <w:t>A thereto, dated February 25, 2021 (incorporated by reference to Exhibit 4.2 to the Company’s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262">
              <w:r>
                <w:rPr>
                  <w:rFonts w:ascii="Arial" w:cs="Arial" w:eastAsia="Arial" w:hAnsi="Arial"/>
                  <w:sz w:val="16"/>
                  <w:szCs w:val="16"/>
                  <w:color w:val="0000EE"/>
                </w:rPr>
                <w:t>Registration Statement on Form S-1 (File No. 333-256648), dated May 28, 2021)</w:t>
              </w:r>
            </w:hyperlink>
          </w:p>
        </w:tc>
        <w:tc>
          <w:tcPr>
            <w:tcW w:w="960" w:type="dxa"/>
            <w:vAlign w:val="bottom"/>
            <w:tcBorders>
              <w:top w:val="single" w:sz="8" w:color="0000EE"/>
            </w:tcBorders>
            <w:gridSpan w:val="4"/>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63">
              <w:r>
                <w:rPr>
                  <w:rFonts w:ascii="Arial" w:cs="Arial" w:eastAsia="Arial" w:hAnsi="Arial"/>
                  <w:sz w:val="16"/>
                  <w:szCs w:val="16"/>
                  <w:color w:val="0000EE"/>
                </w:rPr>
                <w:t>Warrant to Purchase Units of Century Therapeutics, LLC, in favor of Hercules Technology Management</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0" w:type="dxa"/>
            <w:vAlign w:val="bottom"/>
            <w:tcBorders>
              <w:top w:val="single" w:sz="8" w:color="0000EE"/>
            </w:tcBorders>
            <w:gridSpan w:val="17"/>
          </w:tcPr>
          <w:p>
            <w:pPr>
              <w:spacing w:after="0" w:line="169" w:lineRule="exact"/>
              <w:rPr>
                <w:rFonts w:ascii="Arial" w:cs="Arial" w:eastAsia="Arial" w:hAnsi="Arial"/>
                <w:sz w:val="16"/>
                <w:szCs w:val="16"/>
                <w:color w:val="0000EE"/>
              </w:rPr>
            </w:pPr>
            <w:hyperlink r:id="rId263">
              <w:r>
                <w:rPr>
                  <w:rFonts w:ascii="Arial" w:cs="Arial" w:eastAsia="Arial" w:hAnsi="Arial"/>
                  <w:sz w:val="16"/>
                  <w:szCs w:val="16"/>
                  <w:color w:val="0000EE"/>
                </w:rPr>
                <w:t>Co II, Inc., dated September 14, 2020 (incorporated by reference to Exhibit 4.3 to the Company’s</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263">
              <w:r>
                <w:rPr>
                  <w:rFonts w:ascii="Arial" w:cs="Arial" w:eastAsia="Arial" w:hAnsi="Arial"/>
                  <w:sz w:val="16"/>
                  <w:szCs w:val="16"/>
                  <w:color w:val="0000EE"/>
                </w:rPr>
                <w:t>Registration Statement on Form S-1 (File No. 333-256648), dated May 28, 2021)</w:t>
              </w:r>
            </w:hyperlink>
          </w:p>
        </w:tc>
        <w:tc>
          <w:tcPr>
            <w:tcW w:w="1140" w:type="dxa"/>
            <w:vAlign w:val="bottom"/>
            <w:tcBorders>
              <w:top w:val="single" w:sz="8" w:color="0000EE"/>
            </w:tcBorders>
            <w:gridSpan w:val="6"/>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60" w:type="dxa"/>
            <w:vAlign w:val="bottom"/>
          </w:tcPr>
          <w:p>
            <w:pPr>
              <w:jc w:val="center"/>
              <w:spacing w:after="0"/>
              <w:rPr>
                <w:sz w:val="20"/>
                <w:szCs w:val="20"/>
                <w:color w:val="auto"/>
              </w:rPr>
            </w:pPr>
            <w:r>
              <w:rPr>
                <w:rFonts w:ascii="Arial" w:cs="Arial" w:eastAsia="Arial" w:hAnsi="Arial"/>
                <w:sz w:val="16"/>
                <w:szCs w:val="16"/>
                <w:color w:val="auto"/>
                <w:w w:val="97"/>
              </w:rPr>
              <w:t>10.1</w:t>
            </w:r>
            <w:r>
              <w:rPr>
                <w:rFonts w:ascii="Times New Roman" w:cs="Times New Roman" w:eastAsia="Times New Roman" w:hAnsi="Times New Roman"/>
                <w:sz w:val="17"/>
                <w:szCs w:val="17"/>
                <w:color w:val="231F20"/>
                <w:w w:val="97"/>
              </w:rPr>
              <w:t>·</w:t>
            </w:r>
          </w:p>
        </w:tc>
        <w:tc>
          <w:tcPr>
            <w:tcW w:w="280" w:type="dxa"/>
            <w:vAlign w:val="bottom"/>
          </w:tcPr>
          <w:p>
            <w:pPr>
              <w:spacing w:after="0"/>
              <w:rPr>
                <w:sz w:val="20"/>
                <w:szCs w:val="20"/>
                <w:color w:val="auto"/>
              </w:rPr>
            </w:pPr>
          </w:p>
        </w:tc>
        <w:tc>
          <w:tcPr>
            <w:tcW w:w="7020" w:type="dxa"/>
            <w:vAlign w:val="bottom"/>
            <w:tcBorders>
              <w:bottom w:val="single" w:sz="8" w:color="0000EE"/>
            </w:tcBorders>
            <w:gridSpan w:val="14"/>
          </w:tcPr>
          <w:p>
            <w:pPr>
              <w:spacing w:after="0"/>
              <w:rPr>
                <w:rFonts w:ascii="Arial" w:cs="Arial" w:eastAsia="Arial" w:hAnsi="Arial"/>
                <w:sz w:val="16"/>
                <w:szCs w:val="16"/>
                <w:color w:val="0000EE"/>
              </w:rPr>
            </w:pPr>
            <w:hyperlink r:id="rId264">
              <w:r>
                <w:rPr>
                  <w:rFonts w:ascii="Arial" w:cs="Arial" w:eastAsia="Arial" w:hAnsi="Arial"/>
                  <w:sz w:val="16"/>
                  <w:szCs w:val="16"/>
                  <w:color w:val="0000EE"/>
                </w:rPr>
                <w:t>Form of Indemnification Agreement by and between the Registrant and its individual directors and</w:t>
              </w:r>
            </w:hyperlink>
          </w:p>
        </w:tc>
        <w:tc>
          <w:tcPr>
            <w:tcW w:w="54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60" w:type="dxa"/>
            <w:vAlign w:val="bottom"/>
            <w:gridSpan w:val="23"/>
          </w:tcPr>
          <w:p>
            <w:pPr>
              <w:spacing w:after="0" w:line="169" w:lineRule="exact"/>
              <w:rPr>
                <w:rFonts w:ascii="Arial" w:cs="Arial" w:eastAsia="Arial" w:hAnsi="Arial"/>
                <w:sz w:val="16"/>
                <w:szCs w:val="16"/>
                <w:color w:val="0000EE"/>
              </w:rPr>
            </w:pPr>
            <w:hyperlink r:id="rId264">
              <w:r>
                <w:rPr>
                  <w:rFonts w:ascii="Arial" w:cs="Arial" w:eastAsia="Arial" w:hAnsi="Arial"/>
                  <w:sz w:val="16"/>
                  <w:szCs w:val="16"/>
                  <w:color w:val="0000EE"/>
                </w:rPr>
                <w:t>officers (incorporated by reference to Exhibit 10.1 to the Company’s Registration Statement on Form S-1</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264">
              <w:r>
                <w:rPr>
                  <w:rFonts w:ascii="Arial" w:cs="Arial" w:eastAsia="Arial" w:hAnsi="Arial"/>
                  <w:sz w:val="16"/>
                  <w:szCs w:val="16"/>
                  <w:color w:val="0000EE"/>
                </w:rPr>
                <w:t>(File No. 333-256648), dated May 28, 2021)</w:t>
              </w:r>
            </w:hyperlink>
          </w:p>
        </w:tc>
        <w:tc>
          <w:tcPr>
            <w:tcW w:w="4320" w:type="dxa"/>
            <w:vAlign w:val="bottom"/>
            <w:tcBorders>
              <w:top w:val="single" w:sz="8" w:color="0000EE"/>
            </w:tcBorders>
            <w:gridSpan w:val="19"/>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60" w:type="dxa"/>
            <w:vAlign w:val="bottom"/>
          </w:tcPr>
          <w:p>
            <w:pPr>
              <w:jc w:val="center"/>
              <w:spacing w:after="0"/>
              <w:rPr>
                <w:sz w:val="20"/>
                <w:szCs w:val="20"/>
                <w:color w:val="auto"/>
              </w:rPr>
            </w:pPr>
            <w:r>
              <w:rPr>
                <w:rFonts w:ascii="Arial" w:cs="Arial" w:eastAsia="Arial" w:hAnsi="Arial"/>
                <w:sz w:val="16"/>
                <w:szCs w:val="16"/>
                <w:color w:val="auto"/>
                <w:w w:val="97"/>
              </w:rPr>
              <w:t>10.2</w:t>
            </w:r>
            <w:r>
              <w:rPr>
                <w:rFonts w:ascii="Times New Roman" w:cs="Times New Roman" w:eastAsia="Times New Roman" w:hAnsi="Times New Roman"/>
                <w:sz w:val="17"/>
                <w:szCs w:val="17"/>
                <w:color w:val="231F20"/>
                <w:w w:val="97"/>
              </w:rPr>
              <w:t>·</w:t>
            </w: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65">
              <w:r>
                <w:rPr>
                  <w:rFonts w:ascii="Arial" w:cs="Arial" w:eastAsia="Arial" w:hAnsi="Arial"/>
                  <w:sz w:val="16"/>
                  <w:szCs w:val="16"/>
                  <w:color w:val="0000EE"/>
                </w:rPr>
                <w:t>2018 Stock Option and Grant Plan (incorporated by reference to Exhibit 10.2 to the Company’s</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265">
              <w:r>
                <w:rPr>
                  <w:rFonts w:ascii="Arial" w:cs="Arial" w:eastAsia="Arial" w:hAnsi="Arial"/>
                  <w:sz w:val="16"/>
                  <w:szCs w:val="16"/>
                  <w:color w:val="0000EE"/>
                </w:rPr>
                <w:t>Registration Statement on Form S-1 (File No. 333-256648), dated May 28, 2021)</w:t>
              </w:r>
            </w:hyperlink>
          </w:p>
        </w:tc>
        <w:tc>
          <w:tcPr>
            <w:tcW w:w="1040" w:type="dxa"/>
            <w:vAlign w:val="bottom"/>
            <w:tcBorders>
              <w:top w:val="single" w:sz="8" w:color="0000EE"/>
            </w:tcBorders>
            <w:gridSpan w:val="5"/>
          </w:tcPr>
          <w:p>
            <w:pPr>
              <w:spacing w:after="0"/>
              <w:rPr>
                <w:sz w:val="14"/>
                <w:szCs w:val="14"/>
                <w:color w:val="auto"/>
              </w:rPr>
            </w:pPr>
          </w:p>
        </w:tc>
        <w:tc>
          <w:tcPr>
            <w:tcW w:w="16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320" w:type="dxa"/>
            <w:vAlign w:val="bottom"/>
            <w:gridSpan w:val="5"/>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60" w:type="dxa"/>
            <w:vAlign w:val="bottom"/>
          </w:tcPr>
          <w:p>
            <w:pPr>
              <w:jc w:val="center"/>
              <w:spacing w:after="0"/>
              <w:rPr>
                <w:sz w:val="20"/>
                <w:szCs w:val="20"/>
                <w:color w:val="auto"/>
              </w:rPr>
            </w:pPr>
            <w:r>
              <w:rPr>
                <w:rFonts w:ascii="Arial" w:cs="Arial" w:eastAsia="Arial" w:hAnsi="Arial"/>
                <w:sz w:val="16"/>
                <w:szCs w:val="16"/>
                <w:color w:val="auto"/>
                <w:w w:val="97"/>
              </w:rPr>
              <w:t>10.3</w:t>
            </w:r>
            <w:r>
              <w:rPr>
                <w:rFonts w:ascii="Times New Roman" w:cs="Times New Roman" w:eastAsia="Times New Roman" w:hAnsi="Times New Roman"/>
                <w:sz w:val="17"/>
                <w:szCs w:val="17"/>
                <w:color w:val="231F20"/>
                <w:w w:val="97"/>
              </w:rPr>
              <w:t>·</w:t>
            </w: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66">
              <w:r>
                <w:rPr>
                  <w:rFonts w:ascii="Arial" w:cs="Arial" w:eastAsia="Arial" w:hAnsi="Arial"/>
                  <w:sz w:val="16"/>
                  <w:szCs w:val="16"/>
                  <w:color w:val="0000EE"/>
                </w:rPr>
                <w:t>Amendment No. 1 to 2018 Stock Option and Grant Plan (incorporated by reference to Exhibit 10.3 to the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266">
              <w:r>
                <w:rPr>
                  <w:rFonts w:ascii="Arial" w:cs="Arial" w:eastAsia="Arial" w:hAnsi="Arial"/>
                  <w:sz w:val="16"/>
                  <w:szCs w:val="16"/>
                  <w:color w:val="0000EE"/>
                </w:rPr>
                <w:t>Company’s Registration Statement on Form S-1 (File No. 333-256648), dated May 28, 2021)</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7"/>
              </w:rPr>
              <w:t>10.4</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67">
              <w:r>
                <w:rPr>
                  <w:rFonts w:ascii="Arial" w:cs="Arial" w:eastAsia="Arial" w:hAnsi="Arial"/>
                  <w:sz w:val="16"/>
                  <w:szCs w:val="16"/>
                  <w:color w:val="0000EE"/>
                </w:rPr>
                <w:t>Amendment No. 2 to 2018 Stock Option and Grant Plan (incorporated by reference to Exhibit 10.4 to the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267">
              <w:r>
                <w:rPr>
                  <w:rFonts w:ascii="Arial" w:cs="Arial" w:eastAsia="Arial" w:hAnsi="Arial"/>
                  <w:sz w:val="16"/>
                  <w:szCs w:val="16"/>
                  <w:color w:val="0000EE"/>
                </w:rPr>
                <w:t>Company’s Registration Statement on Form S-1 (File No. 333-256648), dated May 28, 2021)</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7"/>
              </w:rPr>
              <w:t>10.5</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68">
              <w:r>
                <w:rPr>
                  <w:rFonts w:ascii="Arial" w:cs="Arial" w:eastAsia="Arial" w:hAnsi="Arial"/>
                  <w:sz w:val="16"/>
                  <w:szCs w:val="16"/>
                  <w:color w:val="0000EE"/>
                </w:rPr>
                <w:t>Amendment No. 3 to 2018 Stock Option and Grant Plan (incorporated by reference to Exhibit 10.5 to the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268">
              <w:r>
                <w:rPr>
                  <w:rFonts w:ascii="Arial" w:cs="Arial" w:eastAsia="Arial" w:hAnsi="Arial"/>
                  <w:sz w:val="16"/>
                  <w:szCs w:val="16"/>
                  <w:color w:val="0000EE"/>
                </w:rPr>
                <w:t>Company’s Registration Statement on Form S-1 (File No. 333-256648), dated May 28, 2021)</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7"/>
              </w:rPr>
              <w:t>10.6</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69">
              <w:r>
                <w:rPr>
                  <w:rFonts w:ascii="Arial" w:cs="Arial" w:eastAsia="Arial" w:hAnsi="Arial"/>
                  <w:sz w:val="16"/>
                  <w:szCs w:val="16"/>
                  <w:color w:val="0000EE"/>
                </w:rPr>
                <w:t>Amendment No. 4 to 2018 Stock Option and Grant Plan (incorporated by reference to Exhibit 10.6 to the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269">
              <w:r>
                <w:rPr>
                  <w:rFonts w:ascii="Arial" w:cs="Arial" w:eastAsia="Arial" w:hAnsi="Arial"/>
                  <w:sz w:val="16"/>
                  <w:szCs w:val="16"/>
                  <w:color w:val="0000EE"/>
                </w:rPr>
                <w:t>Company’s Registration Statement on Form S-1 (File No. 333-256648), dated May 28, 2021)</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7"/>
              </w:rPr>
              <w:t>10.7</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70">
              <w:r>
                <w:rPr>
                  <w:rFonts w:ascii="Arial" w:cs="Arial" w:eastAsia="Arial" w:hAnsi="Arial"/>
                  <w:sz w:val="16"/>
                  <w:szCs w:val="16"/>
                  <w:color w:val="0000EE"/>
                </w:rPr>
                <w:t>Amendment No. 5 to 2018 Stock Option and Grant Plan (incorporated by reference to Exhibit 10.7 to the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270">
              <w:r>
                <w:rPr>
                  <w:rFonts w:ascii="Arial" w:cs="Arial" w:eastAsia="Arial" w:hAnsi="Arial"/>
                  <w:sz w:val="16"/>
                  <w:szCs w:val="16"/>
                  <w:color w:val="0000EE"/>
                </w:rPr>
                <w:t>Company’s Registration Statement on Form S-1 (File No. 333-256648), dated May 28, 2021)</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7"/>
              </w:rPr>
              <w:t>10.8</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71">
              <w:r>
                <w:rPr>
                  <w:rFonts w:ascii="Arial" w:cs="Arial" w:eastAsia="Arial" w:hAnsi="Arial"/>
                  <w:sz w:val="16"/>
                  <w:szCs w:val="16"/>
                  <w:color w:val="0000EE"/>
                </w:rPr>
                <w:t>2021 Equity Incentive Plan (incorporated by reference to Exhibit 10.8 to the Company’s Registration</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271">
              <w:r>
                <w:rPr>
                  <w:rFonts w:ascii="Arial" w:cs="Arial" w:eastAsia="Arial" w:hAnsi="Arial"/>
                  <w:sz w:val="16"/>
                  <w:szCs w:val="16"/>
                  <w:color w:val="0000EE"/>
                </w:rPr>
                <w:t>Statement on Form S-1/A (File No. 333-256648), dated June 14, 2021)</w:t>
              </w:r>
            </w:hyperlink>
          </w:p>
        </w:tc>
        <w:tc>
          <w:tcPr>
            <w:tcW w:w="2060" w:type="dxa"/>
            <w:vAlign w:val="bottom"/>
            <w:tcBorders>
              <w:top w:val="single" w:sz="8" w:color="0000EE"/>
            </w:tcBorders>
            <w:gridSpan w:val="11"/>
          </w:tcPr>
          <w:p>
            <w:pPr>
              <w:spacing w:after="0"/>
              <w:rPr>
                <w:sz w:val="14"/>
                <w:szCs w:val="14"/>
                <w:color w:val="auto"/>
              </w:rPr>
            </w:pPr>
          </w:p>
        </w:tc>
        <w:tc>
          <w:tcPr>
            <w:tcW w:w="4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60" w:type="dxa"/>
            <w:vAlign w:val="bottom"/>
          </w:tcPr>
          <w:p>
            <w:pPr>
              <w:jc w:val="center"/>
              <w:spacing w:after="0"/>
              <w:rPr>
                <w:sz w:val="20"/>
                <w:szCs w:val="20"/>
                <w:color w:val="auto"/>
              </w:rPr>
            </w:pPr>
            <w:r>
              <w:rPr>
                <w:rFonts w:ascii="Arial" w:cs="Arial" w:eastAsia="Arial" w:hAnsi="Arial"/>
                <w:sz w:val="16"/>
                <w:szCs w:val="16"/>
                <w:color w:val="auto"/>
                <w:w w:val="97"/>
              </w:rPr>
              <w:t>10.9</w:t>
            </w:r>
            <w:r>
              <w:rPr>
                <w:rFonts w:ascii="Times New Roman" w:cs="Times New Roman" w:eastAsia="Times New Roman" w:hAnsi="Times New Roman"/>
                <w:sz w:val="17"/>
                <w:szCs w:val="17"/>
                <w:color w:val="231F20"/>
                <w:w w:val="97"/>
              </w:rPr>
              <w:t>·</w:t>
            </w: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72">
              <w:r>
                <w:rPr>
                  <w:rFonts w:ascii="Arial" w:cs="Arial" w:eastAsia="Arial" w:hAnsi="Arial"/>
                  <w:sz w:val="16"/>
                  <w:szCs w:val="16"/>
                  <w:color w:val="0000EE"/>
                </w:rPr>
                <w:t>2021 Employee Stock Purchase Plan (incorporated by reference to Exhibit 10.9 to the Company’s</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0" w:type="dxa"/>
            <w:vAlign w:val="bottom"/>
            <w:tcBorders>
              <w:top w:val="single" w:sz="8" w:color="0000EE"/>
            </w:tcBorders>
            <w:gridSpan w:val="13"/>
          </w:tcPr>
          <w:p>
            <w:pPr>
              <w:spacing w:after="0" w:line="169" w:lineRule="exact"/>
              <w:rPr>
                <w:rFonts w:ascii="Arial" w:cs="Arial" w:eastAsia="Arial" w:hAnsi="Arial"/>
                <w:sz w:val="16"/>
                <w:szCs w:val="16"/>
                <w:color w:val="0000EE"/>
              </w:rPr>
            </w:pPr>
            <w:hyperlink r:id="rId272">
              <w:r>
                <w:rPr>
                  <w:rFonts w:ascii="Arial" w:cs="Arial" w:eastAsia="Arial" w:hAnsi="Arial"/>
                  <w:sz w:val="16"/>
                  <w:szCs w:val="16"/>
                  <w:color w:val="0000EE"/>
                </w:rPr>
                <w:t>Registration Statement on Form S-1/A (File No. 333-256648), dated June 14, 2021)</w:t>
              </w:r>
            </w:hyperlink>
          </w:p>
        </w:tc>
        <w:tc>
          <w:tcPr>
            <w:tcW w:w="5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7" w:name="page198"/>
    <w:bookmarkEnd w:id="1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10.10</w:t>
            </w:r>
            <w:r>
              <w:rPr>
                <w:rFonts w:ascii="Times New Roman" w:cs="Times New Roman" w:eastAsia="Times New Roman" w:hAnsi="Times New Roman"/>
                <w:sz w:val="17"/>
                <w:szCs w:val="17"/>
                <w:color w:val="231F20"/>
              </w:rPr>
              <w:t>·</w:t>
            </w:r>
          </w:p>
        </w:tc>
        <w:tc>
          <w:tcPr>
            <w:tcW w:w="7640" w:type="dxa"/>
            <w:vAlign w:val="bottom"/>
            <w:gridSpan w:val="36"/>
          </w:tcPr>
          <w:p>
            <w:pPr>
              <w:spacing w:after="0"/>
              <w:rPr>
                <w:rFonts w:ascii="Arial" w:cs="Arial" w:eastAsia="Arial" w:hAnsi="Arial"/>
                <w:sz w:val="16"/>
                <w:szCs w:val="16"/>
                <w:color w:val="0000EE"/>
              </w:rPr>
            </w:pPr>
            <w:hyperlink r:id="rId274">
              <w:r>
                <w:rPr>
                  <w:rFonts w:ascii="Arial" w:cs="Arial" w:eastAsia="Arial" w:hAnsi="Arial"/>
                  <w:sz w:val="16"/>
                  <w:szCs w:val="16"/>
                  <w:color w:val="0000EE"/>
                </w:rPr>
                <w:t>Form of Restricted Stock Award Agreement, under the 2018 Stock Option and Grant Plan (incorporated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480" w:type="dxa"/>
            <w:vAlign w:val="bottom"/>
            <w:tcBorders>
              <w:top w:val="single" w:sz="8" w:color="0000EE"/>
            </w:tcBorders>
            <w:gridSpan w:val="28"/>
          </w:tcPr>
          <w:p>
            <w:pPr>
              <w:spacing w:after="0" w:line="169" w:lineRule="exact"/>
              <w:rPr>
                <w:rFonts w:ascii="Arial" w:cs="Arial" w:eastAsia="Arial" w:hAnsi="Arial"/>
                <w:sz w:val="16"/>
                <w:szCs w:val="16"/>
                <w:color w:val="0000EE"/>
              </w:rPr>
            </w:pPr>
            <w:hyperlink r:id="rId274">
              <w:r>
                <w:rPr>
                  <w:rFonts w:ascii="Arial" w:cs="Arial" w:eastAsia="Arial" w:hAnsi="Arial"/>
                  <w:sz w:val="16"/>
                  <w:szCs w:val="16"/>
                  <w:color w:val="0000EE"/>
                </w:rPr>
                <w:t>by reference to Exhibit 10.10 to the Company’s Registration Statement on Form S-1 (File No. 333-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18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274">
              <w:r>
                <w:rPr>
                  <w:rFonts w:ascii="Arial" w:cs="Arial" w:eastAsia="Arial" w:hAnsi="Arial"/>
                  <w:sz w:val="16"/>
                  <w:szCs w:val="16"/>
                  <w:color w:val="0000EE"/>
                </w:rPr>
                <w:t>256648)</w:t>
              </w:r>
              <w:r>
                <w:rPr>
                  <w:rFonts w:ascii="Arial" w:cs="Arial" w:eastAsia="Arial" w:hAnsi="Arial"/>
                  <w:sz w:val="16"/>
                  <w:szCs w:val="16"/>
                  <w:u w:val="single" w:color="auto"/>
                  <w:color w:val="0000EE"/>
                </w:rPr>
                <w:t>,</w:t>
              </w:r>
              <w:r>
                <w:rPr>
                  <w:rFonts w:ascii="Arial" w:cs="Arial" w:eastAsia="Arial" w:hAnsi="Arial"/>
                  <w:sz w:val="16"/>
                  <w:szCs w:val="16"/>
                  <w:color w:val="0000EE"/>
                </w:rPr>
                <w:t xml:space="preserve"> dated May 28, 2021)</w:t>
              </w:r>
            </w:hyperlink>
          </w:p>
        </w:tc>
        <w:tc>
          <w:tcPr>
            <w:tcW w:w="4860" w:type="dxa"/>
            <w:vAlign w:val="bottom"/>
            <w:tcBorders>
              <w:top w:val="single" w:sz="8" w:color="0000EE"/>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99"/>
              <w:spacing w:after="0"/>
              <w:rPr>
                <w:sz w:val="20"/>
                <w:szCs w:val="20"/>
                <w:color w:val="auto"/>
              </w:rPr>
            </w:pPr>
            <w:r>
              <w:rPr>
                <w:rFonts w:ascii="Arial" w:cs="Arial" w:eastAsia="Arial" w:hAnsi="Arial"/>
                <w:sz w:val="16"/>
                <w:szCs w:val="16"/>
                <w:color w:val="auto"/>
                <w:w w:val="96"/>
              </w:rPr>
              <w:t>10.11</w:t>
            </w:r>
            <w:r>
              <w:rPr>
                <w:rFonts w:ascii="Times New Roman" w:cs="Times New Roman" w:eastAsia="Times New Roman" w:hAnsi="Times New Roman"/>
                <w:sz w:val="17"/>
                <w:szCs w:val="17"/>
                <w:color w:val="231F20"/>
                <w:w w:val="96"/>
              </w:rPr>
              <w:t>·</w:t>
            </w:r>
          </w:p>
        </w:tc>
        <w:tc>
          <w:tcPr>
            <w:tcW w:w="7640" w:type="dxa"/>
            <w:vAlign w:val="bottom"/>
            <w:gridSpan w:val="36"/>
          </w:tcPr>
          <w:p>
            <w:pPr>
              <w:spacing w:after="0"/>
              <w:rPr>
                <w:rFonts w:ascii="Arial" w:cs="Arial" w:eastAsia="Arial" w:hAnsi="Arial"/>
                <w:sz w:val="16"/>
                <w:szCs w:val="16"/>
                <w:color w:val="0000EE"/>
              </w:rPr>
            </w:pPr>
            <w:hyperlink r:id="rId275">
              <w:r>
                <w:rPr>
                  <w:rFonts w:ascii="Arial" w:cs="Arial" w:eastAsia="Arial" w:hAnsi="Arial"/>
                  <w:sz w:val="16"/>
                  <w:szCs w:val="16"/>
                  <w:color w:val="0000EE"/>
                </w:rPr>
                <w:t>Form of Non-Qualified Stock Option Agreement, under the 2018 Stock Option and Grant Plan</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70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r:id="rId275">
              <w:r>
                <w:rPr>
                  <w:rFonts w:ascii="Arial" w:cs="Arial" w:eastAsia="Arial" w:hAnsi="Arial"/>
                  <w:sz w:val="16"/>
                  <w:szCs w:val="16"/>
                  <w:color w:val="0000EE"/>
                </w:rPr>
                <w:t>(incorporated by reference to Exhibit 10.11 to the Company’s Registration Statement on Form</w:t>
              </w:r>
            </w:hyperlink>
          </w:p>
        </w:tc>
        <w:tc>
          <w:tcPr>
            <w:tcW w:w="940" w:type="dxa"/>
            <w:vAlign w:val="bottom"/>
            <w:gridSpan w:val="28"/>
          </w:tcPr>
          <w:p>
            <w:pPr>
              <w:ind w:left="40"/>
              <w:spacing w:after="0" w:line="169" w:lineRule="exact"/>
              <w:rPr>
                <w:rFonts w:ascii="Arial" w:cs="Arial" w:eastAsia="Arial" w:hAnsi="Arial"/>
                <w:sz w:val="16"/>
                <w:szCs w:val="16"/>
                <w:color w:val="0000EE"/>
              </w:rPr>
            </w:pPr>
            <w:hyperlink r:id="rId275">
              <w:r>
                <w:rPr>
                  <w:rFonts w:ascii="Arial" w:cs="Arial" w:eastAsia="Arial" w:hAnsi="Arial"/>
                  <w:sz w:val="16"/>
                  <w:szCs w:val="16"/>
                  <w:color w:val="0000EE"/>
                </w:rPr>
                <w:t>S-1 (File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80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r:id="rId275">
              <w:r>
                <w:rPr>
                  <w:rFonts w:ascii="Arial" w:cs="Arial" w:eastAsia="Arial" w:hAnsi="Arial"/>
                  <w:sz w:val="16"/>
                  <w:szCs w:val="16"/>
                  <w:color w:val="0000EE"/>
                </w:rPr>
                <w:t>No. 333-256648), dated May 28, 2021)</w:t>
              </w:r>
            </w:hyperlink>
          </w:p>
        </w:tc>
        <w:tc>
          <w:tcPr>
            <w:tcW w:w="4560" w:type="dxa"/>
            <w:vAlign w:val="bottom"/>
            <w:tcBorders>
              <w:top w:val="single" w:sz="8" w:color="0000EE"/>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10.12</w:t>
            </w:r>
            <w:r>
              <w:rPr>
                <w:rFonts w:ascii="Times New Roman" w:cs="Times New Roman" w:eastAsia="Times New Roman" w:hAnsi="Times New Roman"/>
                <w:sz w:val="17"/>
                <w:szCs w:val="17"/>
                <w:color w:val="231F20"/>
              </w:rPr>
              <w:t>·</w:t>
            </w:r>
          </w:p>
        </w:tc>
        <w:tc>
          <w:tcPr>
            <w:tcW w:w="7640" w:type="dxa"/>
            <w:vAlign w:val="bottom"/>
            <w:gridSpan w:val="36"/>
          </w:tcPr>
          <w:p>
            <w:pPr>
              <w:spacing w:after="0"/>
              <w:rPr>
                <w:rFonts w:ascii="Arial" w:cs="Arial" w:eastAsia="Arial" w:hAnsi="Arial"/>
                <w:sz w:val="16"/>
                <w:szCs w:val="16"/>
                <w:color w:val="0000EE"/>
              </w:rPr>
            </w:pPr>
            <w:hyperlink r:id="rId276">
              <w:r>
                <w:rPr>
                  <w:rFonts w:ascii="Arial" w:cs="Arial" w:eastAsia="Arial" w:hAnsi="Arial"/>
                  <w:sz w:val="16"/>
                  <w:szCs w:val="16"/>
                  <w:color w:val="0000EE"/>
                </w:rPr>
                <w:t>Form of Incentive Stock Option Agreement, under the 2018 Stock Option and Grant Plan (incorporated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340" w:type="dxa"/>
            <w:vAlign w:val="bottom"/>
            <w:tcBorders>
              <w:top w:val="single" w:sz="8" w:color="0000EE"/>
            </w:tcBorders>
            <w:gridSpan w:val="21"/>
          </w:tcPr>
          <w:p>
            <w:pPr>
              <w:spacing w:after="0" w:line="169" w:lineRule="exact"/>
              <w:rPr>
                <w:rFonts w:ascii="Arial" w:cs="Arial" w:eastAsia="Arial" w:hAnsi="Arial"/>
                <w:sz w:val="16"/>
                <w:szCs w:val="16"/>
                <w:color w:val="0000EE"/>
              </w:rPr>
            </w:pPr>
            <w:hyperlink r:id="rId276">
              <w:r>
                <w:rPr>
                  <w:rFonts w:ascii="Arial" w:cs="Arial" w:eastAsia="Arial" w:hAnsi="Arial"/>
                  <w:sz w:val="16"/>
                  <w:szCs w:val="16"/>
                  <w:color w:val="0000EE"/>
                </w:rPr>
                <w:t>by reference to Exhibit 10.12 to the Company’s Registration Statement on Form S-1 (File No. 333-</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18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276">
              <w:r>
                <w:rPr>
                  <w:rFonts w:ascii="Arial" w:cs="Arial" w:eastAsia="Arial" w:hAnsi="Arial"/>
                  <w:sz w:val="16"/>
                  <w:szCs w:val="16"/>
                  <w:color w:val="0000EE"/>
                </w:rPr>
                <w:t>256648)</w:t>
              </w:r>
              <w:r>
                <w:rPr>
                  <w:rFonts w:ascii="Arial" w:cs="Arial" w:eastAsia="Arial" w:hAnsi="Arial"/>
                  <w:sz w:val="16"/>
                  <w:szCs w:val="16"/>
                  <w:u w:val="single" w:color="auto"/>
                  <w:color w:val="0000EE"/>
                </w:rPr>
                <w:t>,</w:t>
              </w:r>
              <w:r>
                <w:rPr>
                  <w:rFonts w:ascii="Arial" w:cs="Arial" w:eastAsia="Arial" w:hAnsi="Arial"/>
                  <w:sz w:val="16"/>
                  <w:szCs w:val="16"/>
                  <w:color w:val="0000EE"/>
                </w:rPr>
                <w:t xml:space="preserve"> dated May 28, 2021)</w:t>
              </w:r>
            </w:hyperlink>
          </w:p>
        </w:tc>
        <w:tc>
          <w:tcPr>
            <w:tcW w:w="4860" w:type="dxa"/>
            <w:vAlign w:val="bottom"/>
            <w:tcBorders>
              <w:top w:val="single" w:sz="8" w:color="0000EE"/>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10.13</w:t>
            </w:r>
            <w:r>
              <w:rPr>
                <w:rFonts w:ascii="Times New Roman" w:cs="Times New Roman" w:eastAsia="Times New Roman" w:hAnsi="Times New Roman"/>
                <w:sz w:val="17"/>
                <w:szCs w:val="17"/>
                <w:color w:val="231F20"/>
              </w:rPr>
              <w:t>·</w:t>
            </w:r>
          </w:p>
        </w:tc>
        <w:tc>
          <w:tcPr>
            <w:tcW w:w="7640" w:type="dxa"/>
            <w:vAlign w:val="bottom"/>
            <w:gridSpan w:val="36"/>
          </w:tcPr>
          <w:p>
            <w:pPr>
              <w:spacing w:after="0"/>
              <w:rPr>
                <w:rFonts w:ascii="Arial" w:cs="Arial" w:eastAsia="Arial" w:hAnsi="Arial"/>
                <w:sz w:val="16"/>
                <w:szCs w:val="16"/>
                <w:color w:val="0000EE"/>
              </w:rPr>
            </w:pPr>
            <w:hyperlink r:id="rId277">
              <w:r>
                <w:rPr>
                  <w:rFonts w:ascii="Arial" w:cs="Arial" w:eastAsia="Arial" w:hAnsi="Arial"/>
                  <w:sz w:val="16"/>
                  <w:szCs w:val="16"/>
                  <w:color w:val="0000EE"/>
                </w:rPr>
                <w:t>Form of Stock Option Grant Notice and Award Agreement, under the 2021 Plan (incorporated by</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00" w:type="dxa"/>
            <w:vAlign w:val="bottom"/>
            <w:tcBorders>
              <w:top w:val="single" w:sz="8" w:color="0000EE"/>
              <w:bottom w:val="single" w:sz="8" w:color="0000EE"/>
            </w:tcBorders>
            <w:gridSpan w:val="9"/>
          </w:tcPr>
          <w:p>
            <w:pPr>
              <w:spacing w:after="0" w:line="169" w:lineRule="exact"/>
              <w:rPr>
                <w:rFonts w:ascii="Arial" w:cs="Arial" w:eastAsia="Arial" w:hAnsi="Arial"/>
                <w:sz w:val="16"/>
                <w:szCs w:val="16"/>
                <w:color w:val="0000EE"/>
              </w:rPr>
            </w:pPr>
            <w:hyperlink r:id="rId277">
              <w:r>
                <w:rPr>
                  <w:rFonts w:ascii="Arial" w:cs="Arial" w:eastAsia="Arial" w:hAnsi="Arial"/>
                  <w:sz w:val="16"/>
                  <w:szCs w:val="16"/>
                  <w:color w:val="0000EE"/>
                </w:rPr>
                <w:t>reference to Exhibit 10.13 to the Company’s Registration Statement on Form S-1 (File No. 333-</w:t>
              </w:r>
            </w:hyperlink>
          </w:p>
        </w:tc>
        <w:tc>
          <w:tcPr>
            <w:tcW w:w="640" w:type="dxa"/>
            <w:vAlign w:val="bottom"/>
            <w:tcBorders>
              <w:bottom w:val="single" w:sz="8" w:color="0000EE"/>
            </w:tcBorders>
            <w:gridSpan w:val="22"/>
          </w:tcPr>
          <w:p>
            <w:pPr>
              <w:jc w:val="right"/>
              <w:ind w:right="80"/>
              <w:spacing w:after="0" w:line="169" w:lineRule="exact"/>
              <w:rPr>
                <w:rFonts w:ascii="Arial" w:cs="Arial" w:eastAsia="Arial" w:hAnsi="Arial"/>
                <w:sz w:val="16"/>
                <w:szCs w:val="16"/>
                <w:color w:val="0000EE"/>
                <w:w w:val="85"/>
              </w:rPr>
            </w:pPr>
            <w:hyperlink r:id="rId277">
              <w:r>
                <w:rPr>
                  <w:rFonts w:ascii="Arial" w:cs="Arial" w:eastAsia="Arial" w:hAnsi="Arial"/>
                  <w:sz w:val="16"/>
                  <w:szCs w:val="16"/>
                  <w:color w:val="0000EE"/>
                  <w:w w:val="85"/>
                </w:rPr>
                <w:t>256648),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40" w:type="dxa"/>
            <w:vAlign w:val="bottom"/>
            <w:gridSpan w:val="31"/>
          </w:tcPr>
          <w:p>
            <w:pPr>
              <w:spacing w:after="0" w:line="169" w:lineRule="exact"/>
              <w:rPr>
                <w:rFonts w:ascii="Arial" w:cs="Arial" w:eastAsia="Arial" w:hAnsi="Arial"/>
                <w:sz w:val="16"/>
                <w:szCs w:val="16"/>
                <w:color w:val="0000EE"/>
              </w:rPr>
            </w:pPr>
            <w:hyperlink r:id="rId277">
              <w:r>
                <w:rPr>
                  <w:rFonts w:ascii="Arial" w:cs="Arial" w:eastAsia="Arial" w:hAnsi="Arial"/>
                  <w:sz w:val="16"/>
                  <w:szCs w:val="16"/>
                  <w:color w:val="0000EE"/>
                </w:rPr>
                <w:t>dated May 28,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jc w:val="center"/>
              <w:ind w:right="179"/>
              <w:spacing w:after="0"/>
              <w:rPr>
                <w:sz w:val="20"/>
                <w:szCs w:val="20"/>
                <w:color w:val="auto"/>
              </w:rPr>
            </w:pPr>
            <w:r>
              <w:rPr>
                <w:rFonts w:ascii="Arial" w:cs="Arial" w:eastAsia="Arial" w:hAnsi="Arial"/>
                <w:sz w:val="16"/>
                <w:szCs w:val="16"/>
                <w:color w:val="auto"/>
              </w:rPr>
              <w:t>10.14</w:t>
            </w:r>
            <w:r>
              <w:rPr>
                <w:rFonts w:ascii="Times New Roman" w:cs="Times New Roman" w:eastAsia="Times New Roman" w:hAnsi="Times New Roman"/>
                <w:sz w:val="17"/>
                <w:szCs w:val="17"/>
                <w:color w:val="231F20"/>
              </w:rPr>
              <w:t>·</w:t>
            </w:r>
          </w:p>
        </w:tc>
        <w:tc>
          <w:tcPr>
            <w:tcW w:w="148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vMerge w:val="continue"/>
          </w:tcPr>
          <w:p>
            <w:pPr>
              <w:spacing w:after="0"/>
              <w:rPr>
                <w:sz w:val="20"/>
                <w:szCs w:val="20"/>
                <w:color w:val="auto"/>
              </w:rPr>
            </w:pPr>
          </w:p>
        </w:tc>
        <w:tc>
          <w:tcPr>
            <w:tcW w:w="7640" w:type="dxa"/>
            <w:vAlign w:val="bottom"/>
            <w:gridSpan w:val="36"/>
          </w:tcPr>
          <w:p>
            <w:pPr>
              <w:spacing w:after="0"/>
              <w:rPr>
                <w:rFonts w:ascii="Arial" w:cs="Arial" w:eastAsia="Arial" w:hAnsi="Arial"/>
                <w:sz w:val="16"/>
                <w:szCs w:val="16"/>
                <w:color w:val="0000EE"/>
              </w:rPr>
            </w:pPr>
            <w:hyperlink r:id="rId278">
              <w:r>
                <w:rPr>
                  <w:rFonts w:ascii="Arial" w:cs="Arial" w:eastAsia="Arial" w:hAnsi="Arial"/>
                  <w:sz w:val="16"/>
                  <w:szCs w:val="16"/>
                  <w:color w:val="0000EE"/>
                </w:rPr>
                <w:t>Form of Restricted Stock Unit Grant Notice and Award Agreement, under the 2021 Plan (incorporated by</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0" w:type="dxa"/>
            <w:vAlign w:val="bottom"/>
            <w:tcBorders>
              <w:top w:val="single" w:sz="8" w:color="0000EE"/>
            </w:tcBorders>
            <w:gridSpan w:val="34"/>
          </w:tcPr>
          <w:p>
            <w:pPr>
              <w:spacing w:after="0" w:line="169" w:lineRule="exact"/>
              <w:rPr>
                <w:rFonts w:ascii="Arial" w:cs="Arial" w:eastAsia="Arial" w:hAnsi="Arial"/>
                <w:sz w:val="16"/>
                <w:szCs w:val="16"/>
                <w:color w:val="0000EE"/>
              </w:rPr>
            </w:pPr>
            <w:hyperlink r:id="rId278">
              <w:r>
                <w:rPr>
                  <w:rFonts w:ascii="Arial" w:cs="Arial" w:eastAsia="Arial" w:hAnsi="Arial"/>
                  <w:sz w:val="16"/>
                  <w:szCs w:val="16"/>
                  <w:color w:val="0000EE"/>
                </w:rPr>
                <w:t>reference to Exhibit 10.14 to the Company’s Registration Statement on Form S-1 (File No. 333-256648),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40" w:type="dxa"/>
            <w:vAlign w:val="bottom"/>
            <w:tcBorders>
              <w:top w:val="single" w:sz="8" w:color="0000EE"/>
            </w:tcBorders>
            <w:gridSpan w:val="31"/>
          </w:tcPr>
          <w:p>
            <w:pPr>
              <w:spacing w:after="0" w:line="169" w:lineRule="exact"/>
              <w:rPr>
                <w:rFonts w:ascii="Arial" w:cs="Arial" w:eastAsia="Arial" w:hAnsi="Arial"/>
                <w:sz w:val="16"/>
                <w:szCs w:val="16"/>
                <w:color w:val="0000EE"/>
              </w:rPr>
            </w:pPr>
            <w:hyperlink r:id="rId278">
              <w:r>
                <w:rPr>
                  <w:rFonts w:ascii="Arial" w:cs="Arial" w:eastAsia="Arial" w:hAnsi="Arial"/>
                  <w:sz w:val="16"/>
                  <w:szCs w:val="16"/>
                  <w:color w:val="0000EE"/>
                </w:rPr>
                <w:t>dated May 28,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10.15</w:t>
            </w:r>
            <w:r>
              <w:rPr>
                <w:rFonts w:ascii="Arial" w:cs="Arial" w:eastAsia="Arial" w:hAnsi="Arial"/>
                <w:sz w:val="16"/>
                <w:szCs w:val="16"/>
                <w:color w:val="231F20"/>
                <w:w w:val="99"/>
              </w:rPr>
              <w:t>*</w:t>
            </w:r>
          </w:p>
        </w:tc>
        <w:tc>
          <w:tcPr>
            <w:tcW w:w="7640" w:type="dxa"/>
            <w:vAlign w:val="bottom"/>
            <w:gridSpan w:val="36"/>
          </w:tcPr>
          <w:p>
            <w:pPr>
              <w:spacing w:after="0"/>
              <w:rPr>
                <w:rFonts w:ascii="Arial" w:cs="Arial" w:eastAsia="Arial" w:hAnsi="Arial"/>
                <w:sz w:val="16"/>
                <w:szCs w:val="16"/>
                <w:color w:val="0000EE"/>
              </w:rPr>
            </w:pPr>
            <w:hyperlink r:id="rId279">
              <w:r>
                <w:rPr>
                  <w:rFonts w:ascii="Arial" w:cs="Arial" w:eastAsia="Arial" w:hAnsi="Arial"/>
                  <w:sz w:val="16"/>
                  <w:szCs w:val="16"/>
                  <w:color w:val="0000EE"/>
                </w:rPr>
                <w:t>Amended and Restated Option Agreement, by and between Century Therapeutics, Inc. and Bayer</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6"/>
          </w:tcPr>
          <w:p>
            <w:pPr>
              <w:spacing w:after="0" w:line="169" w:lineRule="exact"/>
              <w:rPr>
                <w:rFonts w:ascii="Arial" w:cs="Arial" w:eastAsia="Arial" w:hAnsi="Arial"/>
                <w:sz w:val="16"/>
                <w:szCs w:val="16"/>
                <w:color w:val="0000EE"/>
              </w:rPr>
            </w:pPr>
            <w:hyperlink r:id="rId279">
              <w:r>
                <w:rPr>
                  <w:rFonts w:ascii="Arial" w:cs="Arial" w:eastAsia="Arial" w:hAnsi="Arial"/>
                  <w:sz w:val="16"/>
                  <w:szCs w:val="16"/>
                  <w:color w:val="0000EE"/>
                </w:rPr>
                <w:t>HealthCare LLC, dated February 25, 2021 (incorporated by reference to Exhibit 10.15 to the Company’s</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279">
              <w:r>
                <w:rPr>
                  <w:rFonts w:ascii="Arial" w:cs="Arial" w:eastAsia="Arial" w:hAnsi="Arial"/>
                  <w:sz w:val="16"/>
                  <w:szCs w:val="16"/>
                  <w:color w:val="0000EE"/>
                </w:rPr>
                <w:t>Registration Statement on Form S-1 (File No. 333-256648), dated May 28, 2021)</w:t>
              </w:r>
            </w:hyperlink>
          </w:p>
        </w:tc>
        <w:tc>
          <w:tcPr>
            <w:tcW w:w="1720" w:type="dxa"/>
            <w:vAlign w:val="bottom"/>
            <w:tcBorders>
              <w:top w:val="single" w:sz="8" w:color="0000EE"/>
            </w:tcBorders>
            <w:gridSpan w:val="2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10.16*</w:t>
            </w:r>
          </w:p>
        </w:tc>
        <w:tc>
          <w:tcPr>
            <w:tcW w:w="7640" w:type="dxa"/>
            <w:vAlign w:val="bottom"/>
            <w:gridSpan w:val="36"/>
          </w:tcPr>
          <w:p>
            <w:pPr>
              <w:spacing w:after="0"/>
              <w:rPr>
                <w:rFonts w:ascii="Arial" w:cs="Arial" w:eastAsia="Arial" w:hAnsi="Arial"/>
                <w:sz w:val="16"/>
                <w:szCs w:val="16"/>
                <w:color w:val="0000EE"/>
              </w:rPr>
            </w:pPr>
            <w:hyperlink r:id="rId280">
              <w:r>
                <w:rPr>
                  <w:rFonts w:ascii="Arial" w:cs="Arial" w:eastAsia="Arial" w:hAnsi="Arial"/>
                  <w:sz w:val="16"/>
                  <w:szCs w:val="16"/>
                  <w:color w:val="0000EE"/>
                </w:rPr>
                <w:t>Master Collaboration Agreement, by and between Century Therapeutics, Inc. and FUJIFILM Cellular</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180" w:type="dxa"/>
            <w:vAlign w:val="bottom"/>
            <w:tcBorders>
              <w:top w:val="single" w:sz="8" w:color="0000EE"/>
              <w:bottom w:val="single" w:sz="8" w:color="0000EE"/>
            </w:tcBorders>
            <w:gridSpan w:val="15"/>
          </w:tcPr>
          <w:p>
            <w:pPr>
              <w:spacing w:after="0" w:line="169" w:lineRule="exact"/>
              <w:rPr>
                <w:rFonts w:ascii="Arial" w:cs="Arial" w:eastAsia="Arial" w:hAnsi="Arial"/>
                <w:sz w:val="16"/>
                <w:szCs w:val="16"/>
                <w:color w:val="0000EE"/>
                <w:w w:val="99"/>
              </w:rPr>
            </w:pPr>
            <w:hyperlink r:id="rId280">
              <w:r>
                <w:rPr>
                  <w:rFonts w:ascii="Arial" w:cs="Arial" w:eastAsia="Arial" w:hAnsi="Arial"/>
                  <w:sz w:val="16"/>
                  <w:szCs w:val="16"/>
                  <w:color w:val="0000EE"/>
                  <w:w w:val="99"/>
                </w:rPr>
                <w:t>Dynamics, Inc., dated October 21, 2019 (incorporated by reference to Exhibit 10.16 to the Company’s</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580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r:id="rId280">
              <w:r>
                <w:rPr>
                  <w:rFonts w:ascii="Arial" w:cs="Arial" w:eastAsia="Arial" w:hAnsi="Arial"/>
                  <w:sz w:val="16"/>
                  <w:szCs w:val="16"/>
                  <w:color w:val="0000EE"/>
                </w:rPr>
                <w:t>Registration Statement on Form S-1 (File No. 333-256648), dated May 28, 2021)</w:t>
              </w:r>
            </w:hyperlink>
          </w:p>
        </w:tc>
        <w:tc>
          <w:tcPr>
            <w:tcW w:w="1480" w:type="dxa"/>
            <w:vAlign w:val="bottom"/>
            <w:gridSpan w:val="14"/>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10.17</w:t>
            </w:r>
          </w:p>
        </w:tc>
        <w:tc>
          <w:tcPr>
            <w:tcW w:w="7380" w:type="dxa"/>
            <w:vAlign w:val="bottom"/>
            <w:tcBorders>
              <w:bottom w:val="single" w:sz="8" w:color="0000EE"/>
            </w:tcBorders>
            <w:gridSpan w:val="23"/>
          </w:tcPr>
          <w:p>
            <w:pPr>
              <w:spacing w:after="0"/>
              <w:rPr>
                <w:rFonts w:ascii="Arial" w:cs="Arial" w:eastAsia="Arial" w:hAnsi="Arial"/>
                <w:sz w:val="16"/>
                <w:szCs w:val="16"/>
                <w:color w:val="0000EE"/>
              </w:rPr>
            </w:pPr>
            <w:hyperlink r:id="rId281">
              <w:r>
                <w:rPr>
                  <w:rFonts w:ascii="Arial" w:cs="Arial" w:eastAsia="Arial" w:hAnsi="Arial"/>
                  <w:sz w:val="16"/>
                  <w:szCs w:val="16"/>
                  <w:color w:val="0000EE"/>
                </w:rPr>
                <w:t>Amendment No. 1 to Master Collaboration Agreement, by and between Century Therapeutics, Inc. and</w:t>
              </w:r>
            </w:hyperlink>
          </w:p>
        </w:tc>
        <w:tc>
          <w:tcPr>
            <w:tcW w:w="2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6"/>
          </w:tcPr>
          <w:p>
            <w:pPr>
              <w:spacing w:after="0" w:line="169" w:lineRule="exact"/>
              <w:rPr>
                <w:rFonts w:ascii="Arial" w:cs="Arial" w:eastAsia="Arial" w:hAnsi="Arial"/>
                <w:sz w:val="16"/>
                <w:szCs w:val="16"/>
                <w:color w:val="0000EE"/>
              </w:rPr>
            </w:pPr>
            <w:hyperlink r:id="rId281">
              <w:r>
                <w:rPr>
                  <w:rFonts w:ascii="Arial" w:cs="Arial" w:eastAsia="Arial" w:hAnsi="Arial"/>
                  <w:sz w:val="16"/>
                  <w:szCs w:val="16"/>
                  <w:color w:val="0000EE"/>
                </w:rPr>
                <w:t>FUJIFILM Cellular Dynamics, Inc., dated July 17, 2020 (incorporated by reference to Exhibit 10.17 to the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60" w:type="dxa"/>
            <w:vAlign w:val="bottom"/>
            <w:tcBorders>
              <w:top w:val="single" w:sz="8" w:color="0000EE"/>
            </w:tcBorders>
            <w:gridSpan w:val="32"/>
          </w:tcPr>
          <w:p>
            <w:pPr>
              <w:spacing w:after="0" w:line="169" w:lineRule="exact"/>
              <w:rPr>
                <w:rFonts w:ascii="Arial" w:cs="Arial" w:eastAsia="Arial" w:hAnsi="Arial"/>
                <w:sz w:val="16"/>
                <w:szCs w:val="16"/>
                <w:color w:val="0000EE"/>
              </w:rPr>
            </w:pPr>
            <w:hyperlink r:id="rId281">
              <w:r>
                <w:rPr>
                  <w:rFonts w:ascii="Arial" w:cs="Arial" w:eastAsia="Arial" w:hAnsi="Arial"/>
                  <w:sz w:val="16"/>
                  <w:szCs w:val="16"/>
                  <w:color w:val="0000EE"/>
                </w:rPr>
                <w:t>Company’s Registration Statement on Form S-1 (File No. 333-256648), dated May 28,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10.18*</w:t>
            </w:r>
          </w:p>
        </w:tc>
        <w:tc>
          <w:tcPr>
            <w:tcW w:w="7320" w:type="dxa"/>
            <w:vAlign w:val="bottom"/>
            <w:tcBorders>
              <w:bottom w:val="single" w:sz="8" w:color="0000EE"/>
            </w:tcBorders>
            <w:gridSpan w:val="20"/>
          </w:tcPr>
          <w:p>
            <w:pPr>
              <w:spacing w:after="0"/>
              <w:rPr>
                <w:rFonts w:ascii="Arial" w:cs="Arial" w:eastAsia="Arial" w:hAnsi="Arial"/>
                <w:sz w:val="16"/>
                <w:szCs w:val="16"/>
                <w:color w:val="0000EE"/>
              </w:rPr>
            </w:pPr>
            <w:hyperlink r:id="rId282">
              <w:r>
                <w:rPr>
                  <w:rFonts w:ascii="Arial" w:cs="Arial" w:eastAsia="Arial" w:hAnsi="Arial"/>
                  <w:sz w:val="16"/>
                  <w:szCs w:val="16"/>
                  <w:color w:val="0000EE"/>
                </w:rPr>
                <w:t>Amendment No. 2 to Master Collaboration Agreement by and between Century Therapeutics, Inc. and</w:t>
              </w:r>
            </w:hyperlink>
          </w:p>
        </w:tc>
        <w:tc>
          <w:tcPr>
            <w:tcW w:w="32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6"/>
          </w:tcPr>
          <w:p>
            <w:pPr>
              <w:spacing w:after="0" w:line="169" w:lineRule="exact"/>
              <w:rPr>
                <w:rFonts w:ascii="Arial" w:cs="Arial" w:eastAsia="Arial" w:hAnsi="Arial"/>
                <w:sz w:val="16"/>
                <w:szCs w:val="16"/>
                <w:color w:val="0000EE"/>
              </w:rPr>
            </w:pPr>
            <w:hyperlink r:id="rId282">
              <w:r>
                <w:rPr>
                  <w:rFonts w:ascii="Arial" w:cs="Arial" w:eastAsia="Arial" w:hAnsi="Arial"/>
                  <w:sz w:val="16"/>
                  <w:szCs w:val="16"/>
                  <w:color w:val="0000EE"/>
                </w:rPr>
                <w:t>FUJIFILM Cellular Dynamics, Inc., dated March 23, 2021 (incorporated by reference to Exhibit 10.18 to</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2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r:id="rId282">
              <w:r>
                <w:rPr>
                  <w:rFonts w:ascii="Arial" w:cs="Arial" w:eastAsia="Arial" w:hAnsi="Arial"/>
                  <w:sz w:val="16"/>
                  <w:szCs w:val="16"/>
                  <w:color w:val="0000EE"/>
                </w:rPr>
                <w:t>the Company’s Registration Statement on Form S-1 (File No. 333-256648), dated May 28, 2021)</w:t>
              </w:r>
            </w:hyperlink>
          </w:p>
        </w:tc>
        <w:tc>
          <w:tcPr>
            <w:tcW w:w="480" w:type="dxa"/>
            <w:vAlign w:val="bottom"/>
            <w:tcBorders>
              <w:top w:val="single" w:sz="8" w:color="0000EE"/>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10.19</w:t>
            </w:r>
          </w:p>
        </w:tc>
        <w:tc>
          <w:tcPr>
            <w:tcW w:w="7320" w:type="dxa"/>
            <w:vAlign w:val="bottom"/>
            <w:tcBorders>
              <w:bottom w:val="single" w:sz="8" w:color="0000EE"/>
            </w:tcBorders>
            <w:gridSpan w:val="20"/>
          </w:tcPr>
          <w:p>
            <w:pPr>
              <w:spacing w:after="0"/>
              <w:rPr>
                <w:rFonts w:ascii="Arial" w:cs="Arial" w:eastAsia="Arial" w:hAnsi="Arial"/>
                <w:sz w:val="16"/>
                <w:szCs w:val="16"/>
                <w:color w:val="0000EE"/>
              </w:rPr>
            </w:pPr>
            <w:hyperlink r:id="rId283">
              <w:r>
                <w:rPr>
                  <w:rFonts w:ascii="Arial" w:cs="Arial" w:eastAsia="Arial" w:hAnsi="Arial"/>
                  <w:sz w:val="16"/>
                  <w:szCs w:val="16"/>
                  <w:color w:val="0000EE"/>
                </w:rPr>
                <w:t>Amendment No. 3 to Master Collaboration Agreement by and between Century Therapeutics, Inc. and</w:t>
              </w:r>
            </w:hyperlink>
          </w:p>
        </w:tc>
        <w:tc>
          <w:tcPr>
            <w:tcW w:w="32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6"/>
          </w:tcPr>
          <w:p>
            <w:pPr>
              <w:spacing w:after="0" w:line="169" w:lineRule="exact"/>
              <w:rPr>
                <w:rFonts w:ascii="Arial" w:cs="Arial" w:eastAsia="Arial" w:hAnsi="Arial"/>
                <w:sz w:val="16"/>
                <w:szCs w:val="16"/>
                <w:color w:val="0000EE"/>
              </w:rPr>
            </w:pPr>
            <w:hyperlink r:id="rId283">
              <w:r>
                <w:rPr>
                  <w:rFonts w:ascii="Arial" w:cs="Arial" w:eastAsia="Arial" w:hAnsi="Arial"/>
                  <w:sz w:val="16"/>
                  <w:szCs w:val="16"/>
                  <w:color w:val="0000EE"/>
                </w:rPr>
                <w:t>FUJIFILM Cellular Dynamics, Inc., dated March 29, 2021 (incorporated by reference to Exhibit 10.19 to</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2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r:id="rId283">
              <w:r>
                <w:rPr>
                  <w:rFonts w:ascii="Arial" w:cs="Arial" w:eastAsia="Arial" w:hAnsi="Arial"/>
                  <w:sz w:val="16"/>
                  <w:szCs w:val="16"/>
                  <w:color w:val="0000EE"/>
                </w:rPr>
                <w:t>the Company’s Registration Statement on Form S-1 (File No. 333-256648), dated May 28, 2021)</w:t>
              </w:r>
            </w:hyperlink>
          </w:p>
        </w:tc>
        <w:tc>
          <w:tcPr>
            <w:tcW w:w="480" w:type="dxa"/>
            <w:vAlign w:val="bottom"/>
            <w:tcBorders>
              <w:top w:val="single" w:sz="8" w:color="0000EE"/>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10.20*</w:t>
            </w:r>
          </w:p>
        </w:tc>
        <w:tc>
          <w:tcPr>
            <w:tcW w:w="7640" w:type="dxa"/>
            <w:vAlign w:val="bottom"/>
            <w:gridSpan w:val="36"/>
          </w:tcPr>
          <w:p>
            <w:pPr>
              <w:spacing w:after="0"/>
              <w:rPr>
                <w:rFonts w:ascii="Arial" w:cs="Arial" w:eastAsia="Arial" w:hAnsi="Arial"/>
                <w:sz w:val="16"/>
                <w:szCs w:val="16"/>
                <w:color w:val="0000EE"/>
              </w:rPr>
            </w:pPr>
            <w:hyperlink r:id="rId284">
              <w:r>
                <w:rPr>
                  <w:rFonts w:ascii="Arial" w:cs="Arial" w:eastAsia="Arial" w:hAnsi="Arial"/>
                  <w:sz w:val="16"/>
                  <w:szCs w:val="16"/>
                  <w:color w:val="0000EE"/>
                </w:rPr>
                <w:t>Amendment No. 4 to Master Collaboration Agreement, by and between Century Therapeutics, Inc. and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380" w:type="dxa"/>
            <w:vAlign w:val="bottom"/>
            <w:tcBorders>
              <w:top w:val="single" w:sz="8" w:color="0000EE"/>
              <w:bottom w:val="single" w:sz="8" w:color="0000EE"/>
            </w:tcBorders>
            <w:gridSpan w:val="23"/>
          </w:tcPr>
          <w:p>
            <w:pPr>
              <w:spacing w:after="0" w:line="169" w:lineRule="exact"/>
              <w:rPr>
                <w:rFonts w:ascii="Arial" w:cs="Arial" w:eastAsia="Arial" w:hAnsi="Arial"/>
                <w:sz w:val="16"/>
                <w:szCs w:val="16"/>
                <w:color w:val="0000EE"/>
              </w:rPr>
            </w:pPr>
            <w:hyperlink r:id="rId284">
              <w:r>
                <w:rPr>
                  <w:rFonts w:ascii="Arial" w:cs="Arial" w:eastAsia="Arial" w:hAnsi="Arial"/>
                  <w:sz w:val="16"/>
                  <w:szCs w:val="16"/>
                  <w:color w:val="0000EE"/>
                </w:rPr>
                <w:t>FUJIFILM Cellular Dynamics, Inc., dated July 29, 2022 (incorporated by reference to Exhibit 10.1 to the</w:t>
              </w:r>
            </w:hyperlink>
          </w:p>
        </w:tc>
        <w:tc>
          <w:tcPr>
            <w:tcW w:w="4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66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r:id="rId284">
              <w:r>
                <w:rPr>
                  <w:rFonts w:ascii="Arial" w:cs="Arial" w:eastAsia="Arial" w:hAnsi="Arial"/>
                  <w:sz w:val="16"/>
                  <w:szCs w:val="16"/>
                  <w:color w:val="0000EE"/>
                </w:rPr>
                <w:t>Company’s Quarterly Report on Form 10-Q (File No. 001-40498), dated November 10, 2022)</w:t>
              </w:r>
            </w:hyperlink>
          </w:p>
        </w:tc>
        <w:tc>
          <w:tcPr>
            <w:tcW w:w="760" w:type="dxa"/>
            <w:vAlign w:val="bottom"/>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10.21</w:t>
            </w:r>
          </w:p>
        </w:tc>
        <w:tc>
          <w:tcPr>
            <w:tcW w:w="7140" w:type="dxa"/>
            <w:vAlign w:val="bottom"/>
            <w:tcBorders>
              <w:bottom w:val="single" w:sz="8" w:color="0000EE"/>
            </w:tcBorders>
            <w:gridSpan w:val="14"/>
          </w:tcPr>
          <w:p>
            <w:pPr>
              <w:spacing w:after="0"/>
              <w:rPr>
                <w:rFonts w:ascii="Arial" w:cs="Arial" w:eastAsia="Arial" w:hAnsi="Arial"/>
                <w:sz w:val="16"/>
                <w:szCs w:val="16"/>
                <w:color w:val="0000EE"/>
              </w:rPr>
            </w:pPr>
            <w:hyperlink r:id="rId285">
              <w:r>
                <w:rPr>
                  <w:rFonts w:ascii="Arial" w:cs="Arial" w:eastAsia="Arial" w:hAnsi="Arial"/>
                  <w:sz w:val="16"/>
                  <w:szCs w:val="16"/>
                  <w:color w:val="0000EE"/>
                </w:rPr>
                <w:t>Letter Agreement, by and among Century Therapeutics, Inc., FUJIFILM Cellular Dynamics, Inc. and</w:t>
              </w:r>
            </w:hyperlink>
          </w:p>
        </w:tc>
        <w:tc>
          <w:tcPr>
            <w:tcW w:w="500" w:type="dxa"/>
            <w:vAlign w:val="bottom"/>
            <w:gridSpan w:val="22"/>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6"/>
          </w:tcPr>
          <w:p>
            <w:pPr>
              <w:spacing w:after="0" w:line="169" w:lineRule="exact"/>
              <w:rPr>
                <w:rFonts w:ascii="Arial" w:cs="Arial" w:eastAsia="Arial" w:hAnsi="Arial"/>
                <w:sz w:val="16"/>
                <w:szCs w:val="16"/>
                <w:color w:val="0000EE"/>
              </w:rPr>
            </w:pPr>
            <w:hyperlink r:id="rId285">
              <w:r>
                <w:rPr>
                  <w:rFonts w:ascii="Arial" w:cs="Arial" w:eastAsia="Arial" w:hAnsi="Arial"/>
                  <w:sz w:val="16"/>
                  <w:szCs w:val="16"/>
                  <w:color w:val="0000EE"/>
                </w:rPr>
                <w:t>Wisconsin Alumni Research Foundation, dated July 2, 2019 (incorporated by reference to Exhibit 10.20</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100" w:type="dxa"/>
            <w:vAlign w:val="bottom"/>
            <w:tcBorders>
              <w:top w:val="single" w:sz="8" w:color="0000EE"/>
              <w:bottom w:val="single" w:sz="8" w:color="0000EE"/>
            </w:tcBorders>
            <w:gridSpan w:val="13"/>
          </w:tcPr>
          <w:p>
            <w:pPr>
              <w:spacing w:after="0" w:line="169" w:lineRule="exact"/>
              <w:rPr>
                <w:rFonts w:ascii="Arial" w:cs="Arial" w:eastAsia="Arial" w:hAnsi="Arial"/>
                <w:sz w:val="16"/>
                <w:szCs w:val="16"/>
                <w:color w:val="0000EE"/>
              </w:rPr>
            </w:pPr>
            <w:hyperlink r:id="rId285">
              <w:r>
                <w:rPr>
                  <w:rFonts w:ascii="Arial" w:cs="Arial" w:eastAsia="Arial" w:hAnsi="Arial"/>
                  <w:sz w:val="16"/>
                  <w:szCs w:val="16"/>
                  <w:color w:val="0000EE"/>
                </w:rPr>
                <w:t>to the Company’s Registration Statement on Form S-1 (File No. 333-256648), dated May 28, 2021)</w:t>
              </w:r>
            </w:hyperlink>
          </w:p>
        </w:tc>
        <w:tc>
          <w:tcPr>
            <w:tcW w:w="360" w:type="dxa"/>
            <w:vAlign w:val="bottom"/>
            <w:tcBorders>
              <w:top w:val="single" w:sz="8" w:color="0000EE"/>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10.22*</w:t>
            </w:r>
          </w:p>
        </w:tc>
        <w:tc>
          <w:tcPr>
            <w:tcW w:w="7640" w:type="dxa"/>
            <w:vAlign w:val="bottom"/>
            <w:gridSpan w:val="36"/>
          </w:tcPr>
          <w:p>
            <w:pPr>
              <w:spacing w:after="0"/>
              <w:rPr>
                <w:rFonts w:ascii="Arial" w:cs="Arial" w:eastAsia="Arial" w:hAnsi="Arial"/>
                <w:sz w:val="16"/>
                <w:szCs w:val="16"/>
                <w:color w:val="0000EE"/>
              </w:rPr>
            </w:pPr>
            <w:hyperlink r:id="rId286">
              <w:r>
                <w:rPr>
                  <w:rFonts w:ascii="Arial" w:cs="Arial" w:eastAsia="Arial" w:hAnsi="Arial"/>
                  <w:sz w:val="16"/>
                  <w:szCs w:val="16"/>
                  <w:color w:val="0000EE"/>
                </w:rPr>
                <w:t>License Agreement (Differentiation), by and between Century Therapeutics, Inc. and FUJIFILM Cellular</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440" w:type="dxa"/>
            <w:vAlign w:val="bottom"/>
            <w:tcBorders>
              <w:top w:val="single" w:sz="8" w:color="0000EE"/>
              <w:bottom w:val="single" w:sz="8" w:color="0000EE"/>
            </w:tcBorders>
            <w:gridSpan w:val="26"/>
          </w:tcPr>
          <w:p>
            <w:pPr>
              <w:spacing w:after="0" w:line="169" w:lineRule="exact"/>
              <w:rPr>
                <w:rFonts w:ascii="Arial" w:cs="Arial" w:eastAsia="Arial" w:hAnsi="Arial"/>
                <w:sz w:val="16"/>
                <w:szCs w:val="16"/>
                <w:color w:val="0000EE"/>
              </w:rPr>
            </w:pPr>
            <w:hyperlink r:id="rId286">
              <w:r>
                <w:rPr>
                  <w:rFonts w:ascii="Arial" w:cs="Arial" w:eastAsia="Arial" w:hAnsi="Arial"/>
                  <w:sz w:val="16"/>
                  <w:szCs w:val="16"/>
                  <w:color w:val="0000EE"/>
                </w:rPr>
                <w:t>Dynamics, Inc., dated September 18, 2018 (incorporated by reference to Exhibit 10.21 to the Company’s</w:t>
              </w:r>
            </w:hyperlink>
          </w:p>
        </w:tc>
        <w:tc>
          <w:tcPr>
            <w:tcW w:w="60" w:type="dxa"/>
            <w:vAlign w:val="bottom"/>
            <w:tcBorders>
              <w:bottom w:val="single" w:sz="8" w:color="0000EE"/>
            </w:tcBorders>
            <w:gridSpan w:val="3"/>
          </w:tcPr>
          <w:p>
            <w:pPr>
              <w:spacing w:after="0"/>
              <w:rPr>
                <w:sz w:val="14"/>
                <w:szCs w:val="14"/>
                <w:color w:val="auto"/>
              </w:rPr>
            </w:pPr>
          </w:p>
        </w:tc>
        <w:tc>
          <w:tcPr>
            <w:tcW w:w="80" w:type="dxa"/>
            <w:vAlign w:val="bottom"/>
            <w:tcBorders>
              <w:bottom w:val="single" w:sz="8" w:color="0000EE"/>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580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r:id="rId286">
              <w:r>
                <w:rPr>
                  <w:rFonts w:ascii="Arial" w:cs="Arial" w:eastAsia="Arial" w:hAnsi="Arial"/>
                  <w:sz w:val="16"/>
                  <w:szCs w:val="16"/>
                  <w:color w:val="0000EE"/>
                </w:rPr>
                <w:t>Registration Statement on Form S-1 (File No. 333-256648), dated May 28, 2021)</w:t>
              </w:r>
            </w:hyperlink>
          </w:p>
        </w:tc>
        <w:tc>
          <w:tcPr>
            <w:tcW w:w="1780" w:type="dxa"/>
            <w:vAlign w:val="bottom"/>
            <w:gridSpan w:val="2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10.23*</w:t>
            </w:r>
          </w:p>
        </w:tc>
        <w:tc>
          <w:tcPr>
            <w:tcW w:w="7260" w:type="dxa"/>
            <w:vAlign w:val="bottom"/>
            <w:tcBorders>
              <w:bottom w:val="single" w:sz="8" w:color="0000EE"/>
            </w:tcBorders>
            <w:gridSpan w:val="18"/>
          </w:tcPr>
          <w:p>
            <w:pPr>
              <w:spacing w:after="0"/>
              <w:rPr>
                <w:rFonts w:ascii="Arial" w:cs="Arial" w:eastAsia="Arial" w:hAnsi="Arial"/>
                <w:sz w:val="16"/>
                <w:szCs w:val="16"/>
                <w:color w:val="0000EE"/>
              </w:rPr>
            </w:pPr>
            <w:hyperlink r:id="rId287">
              <w:r>
                <w:rPr>
                  <w:rFonts w:ascii="Arial" w:cs="Arial" w:eastAsia="Arial" w:hAnsi="Arial"/>
                  <w:sz w:val="16"/>
                  <w:szCs w:val="16"/>
                  <w:color w:val="0000EE"/>
                </w:rPr>
                <w:t>Amendment No. 1 to License Agreement (Differentiation), by and between Century Therapeutics, Inc.</w:t>
              </w:r>
            </w:hyperlink>
          </w:p>
        </w:tc>
        <w:tc>
          <w:tcPr>
            <w:tcW w:w="38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6"/>
          </w:tcPr>
          <w:p>
            <w:pPr>
              <w:spacing w:after="0" w:line="169" w:lineRule="exact"/>
              <w:rPr>
                <w:rFonts w:ascii="Arial" w:cs="Arial" w:eastAsia="Arial" w:hAnsi="Arial"/>
                <w:sz w:val="16"/>
                <w:szCs w:val="16"/>
                <w:color w:val="0000EE"/>
              </w:rPr>
            </w:pPr>
            <w:hyperlink r:id="rId287">
              <w:r>
                <w:rPr>
                  <w:rFonts w:ascii="Arial" w:cs="Arial" w:eastAsia="Arial" w:hAnsi="Arial"/>
                  <w:sz w:val="16"/>
                  <w:szCs w:val="16"/>
                  <w:color w:val="0000EE"/>
                </w:rPr>
                <w:t>and FUJIFILM Cellular Dynamics, Inc., dated March 23, 2021 (incorporated by reference to Exhibit 10.22</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100" w:type="dxa"/>
            <w:vAlign w:val="bottom"/>
            <w:tcBorders>
              <w:top w:val="single" w:sz="8" w:color="0000EE"/>
              <w:bottom w:val="single" w:sz="8" w:color="0000EE"/>
            </w:tcBorders>
            <w:gridSpan w:val="13"/>
          </w:tcPr>
          <w:p>
            <w:pPr>
              <w:spacing w:after="0" w:line="169" w:lineRule="exact"/>
              <w:rPr>
                <w:rFonts w:ascii="Arial" w:cs="Arial" w:eastAsia="Arial" w:hAnsi="Arial"/>
                <w:sz w:val="16"/>
                <w:szCs w:val="16"/>
                <w:color w:val="0000EE"/>
              </w:rPr>
            </w:pPr>
            <w:hyperlink r:id="rId287">
              <w:r>
                <w:rPr>
                  <w:rFonts w:ascii="Arial" w:cs="Arial" w:eastAsia="Arial" w:hAnsi="Arial"/>
                  <w:sz w:val="16"/>
                  <w:szCs w:val="16"/>
                  <w:color w:val="0000EE"/>
                </w:rPr>
                <w:t>to the Company’s Registration Statement on Form S-1 (File No. 333-256648), dated May 28, 2021)</w:t>
              </w:r>
            </w:hyperlink>
          </w:p>
        </w:tc>
        <w:tc>
          <w:tcPr>
            <w:tcW w:w="520" w:type="dxa"/>
            <w:vAlign w:val="bottom"/>
            <w:tcBorders>
              <w:top w:val="single" w:sz="8" w:color="0000EE"/>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10.24*</w:t>
            </w:r>
          </w:p>
        </w:tc>
        <w:tc>
          <w:tcPr>
            <w:tcW w:w="7640" w:type="dxa"/>
            <w:vAlign w:val="bottom"/>
            <w:gridSpan w:val="36"/>
          </w:tcPr>
          <w:p>
            <w:pPr>
              <w:spacing w:after="0"/>
              <w:rPr>
                <w:rFonts w:ascii="Arial" w:cs="Arial" w:eastAsia="Arial" w:hAnsi="Arial"/>
                <w:sz w:val="16"/>
                <w:szCs w:val="16"/>
                <w:color w:val="0000EE"/>
              </w:rPr>
            </w:pPr>
            <w:hyperlink r:id="rId288">
              <w:r>
                <w:rPr>
                  <w:rFonts w:ascii="Arial" w:cs="Arial" w:eastAsia="Arial" w:hAnsi="Arial"/>
                  <w:sz w:val="16"/>
                  <w:szCs w:val="16"/>
                  <w:color w:val="0000EE"/>
                </w:rPr>
                <w:t>License Agreement (Reprogramming), by and between Century Therapeutics, Inc. and FUJIFILM</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02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r:id="rId288">
              <w:r>
                <w:rPr>
                  <w:rFonts w:ascii="Arial" w:cs="Arial" w:eastAsia="Arial" w:hAnsi="Arial"/>
                  <w:sz w:val="16"/>
                  <w:szCs w:val="16"/>
                  <w:color w:val="0000EE"/>
                </w:rPr>
                <w:t>Cellular Dynamics, Inc., dated September 18, 2018 (incorporated by reference to Exhibit 10.23 to</w:t>
              </w:r>
            </w:hyperlink>
          </w:p>
        </w:tc>
        <w:tc>
          <w:tcPr>
            <w:tcW w:w="620" w:type="dxa"/>
            <w:vAlign w:val="bottom"/>
            <w:gridSpan w:val="25"/>
          </w:tcPr>
          <w:p>
            <w:pPr>
              <w:spacing w:after="0" w:line="169" w:lineRule="exact"/>
              <w:rPr>
                <w:rFonts w:ascii="Arial" w:cs="Arial" w:eastAsia="Arial" w:hAnsi="Arial"/>
                <w:sz w:val="16"/>
                <w:szCs w:val="16"/>
                <w:color w:val="0000EE"/>
              </w:rPr>
            </w:pPr>
            <w:hyperlink r:id="rId288">
              <w:r>
                <w:rPr>
                  <w:rFonts w:ascii="Arial" w:cs="Arial" w:eastAsia="Arial" w:hAnsi="Arial"/>
                  <w:sz w:val="16"/>
                  <w:szCs w:val="16"/>
                  <w:color w:val="0000EE"/>
                </w:rPr>
                <w:t>the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220" w:type="dxa"/>
            <w:vAlign w:val="bottom"/>
            <w:tcBorders>
              <w:top w:val="single" w:sz="8" w:color="0000EE"/>
            </w:tcBorders>
            <w:gridSpan w:val="17"/>
          </w:tcPr>
          <w:p>
            <w:pPr>
              <w:spacing w:after="0" w:line="169" w:lineRule="exact"/>
              <w:rPr>
                <w:rFonts w:ascii="Arial" w:cs="Arial" w:eastAsia="Arial" w:hAnsi="Arial"/>
                <w:sz w:val="16"/>
                <w:szCs w:val="16"/>
                <w:color w:val="0000EE"/>
              </w:rPr>
            </w:pPr>
            <w:hyperlink r:id="rId288">
              <w:r>
                <w:rPr>
                  <w:rFonts w:ascii="Arial" w:cs="Arial" w:eastAsia="Arial" w:hAnsi="Arial"/>
                  <w:sz w:val="16"/>
                  <w:szCs w:val="16"/>
                  <w:color w:val="0000EE"/>
                </w:rPr>
                <w:t>Company’s Registration Statement on Form S-1 (File No. 333-256648), dated May 28, 2021)</w:t>
              </w:r>
            </w:hyperlink>
          </w:p>
        </w:tc>
        <w:tc>
          <w:tcPr>
            <w:tcW w:w="100" w:type="dxa"/>
            <w:vAlign w:val="bottom"/>
            <w:gridSpan w:val="3"/>
          </w:tcPr>
          <w:p>
            <w:pPr>
              <w:spacing w:after="0"/>
              <w:rPr>
                <w:sz w:val="14"/>
                <w:szCs w:val="14"/>
                <w:color w:val="auto"/>
              </w:rPr>
            </w:pPr>
          </w:p>
        </w:tc>
        <w:tc>
          <w:tcPr>
            <w:tcW w:w="180" w:type="dxa"/>
            <w:vAlign w:val="bottom"/>
            <w:gridSpan w:val="9"/>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10.25*</w:t>
            </w:r>
          </w:p>
        </w:tc>
        <w:tc>
          <w:tcPr>
            <w:tcW w:w="7640" w:type="dxa"/>
            <w:vAlign w:val="bottom"/>
            <w:gridSpan w:val="36"/>
          </w:tcPr>
          <w:p>
            <w:pPr>
              <w:spacing w:after="0"/>
              <w:rPr>
                <w:rFonts w:ascii="Arial" w:cs="Arial" w:eastAsia="Arial" w:hAnsi="Arial"/>
                <w:sz w:val="16"/>
                <w:szCs w:val="16"/>
                <w:color w:val="0000EE"/>
              </w:rPr>
            </w:pPr>
            <w:hyperlink r:id="rId289">
              <w:r>
                <w:rPr>
                  <w:rFonts w:ascii="Arial" w:cs="Arial" w:eastAsia="Arial" w:hAnsi="Arial"/>
                  <w:sz w:val="16"/>
                  <w:szCs w:val="16"/>
                  <w:color w:val="0000EE"/>
                </w:rPr>
                <w:t>Amendment No. 1 to License Agreement (Reprogramming), by and between Century Therapeutics, Inc.</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00" w:type="dxa"/>
            <w:vAlign w:val="bottom"/>
            <w:tcBorders>
              <w:top w:val="single" w:sz="8" w:color="0000EE"/>
            </w:tcBorders>
            <w:gridSpan w:val="29"/>
          </w:tcPr>
          <w:p>
            <w:pPr>
              <w:spacing w:after="0" w:line="169" w:lineRule="exact"/>
              <w:rPr>
                <w:rFonts w:ascii="Arial" w:cs="Arial" w:eastAsia="Arial" w:hAnsi="Arial"/>
                <w:sz w:val="16"/>
                <w:szCs w:val="16"/>
                <w:color w:val="0000EE"/>
              </w:rPr>
            </w:pPr>
            <w:hyperlink r:id="rId289">
              <w:r>
                <w:rPr>
                  <w:rFonts w:ascii="Arial" w:cs="Arial" w:eastAsia="Arial" w:hAnsi="Arial"/>
                  <w:sz w:val="16"/>
                  <w:szCs w:val="16"/>
                  <w:color w:val="0000EE"/>
                </w:rPr>
                <w:t>and FUJIFILM Cellular Dynamics, Inc., dated March 23, 2021 (incorporated by reference to Exhibit 10.24</w:t>
              </w:r>
            </w:hyperlink>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100" w:type="dxa"/>
            <w:vAlign w:val="bottom"/>
            <w:tcBorders>
              <w:top w:val="single" w:sz="8" w:color="0000EE"/>
              <w:bottom w:val="single" w:sz="8" w:color="0000EE"/>
            </w:tcBorders>
            <w:gridSpan w:val="13"/>
          </w:tcPr>
          <w:p>
            <w:pPr>
              <w:spacing w:after="0" w:line="169" w:lineRule="exact"/>
              <w:rPr>
                <w:rFonts w:ascii="Arial" w:cs="Arial" w:eastAsia="Arial" w:hAnsi="Arial"/>
                <w:sz w:val="16"/>
                <w:szCs w:val="16"/>
                <w:color w:val="0000EE"/>
              </w:rPr>
            </w:pPr>
            <w:hyperlink r:id="rId289">
              <w:r>
                <w:rPr>
                  <w:rFonts w:ascii="Arial" w:cs="Arial" w:eastAsia="Arial" w:hAnsi="Arial"/>
                  <w:sz w:val="16"/>
                  <w:szCs w:val="16"/>
                  <w:color w:val="0000EE"/>
                </w:rPr>
                <w:t>to the Company’s Registration Statement on Form S-1 (File No. 333-256648), dated May 28, 2021)</w:t>
              </w:r>
            </w:hyperlink>
          </w:p>
        </w:tc>
        <w:tc>
          <w:tcPr>
            <w:tcW w:w="520" w:type="dxa"/>
            <w:vAlign w:val="bottom"/>
            <w:tcBorders>
              <w:top w:val="single" w:sz="8" w:color="0000EE"/>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10.26*</w:t>
            </w:r>
          </w:p>
        </w:tc>
        <w:tc>
          <w:tcPr>
            <w:tcW w:w="7640" w:type="dxa"/>
            <w:vAlign w:val="bottom"/>
            <w:gridSpan w:val="36"/>
          </w:tcPr>
          <w:p>
            <w:pPr>
              <w:spacing w:after="0"/>
              <w:rPr>
                <w:rFonts w:ascii="Arial" w:cs="Arial" w:eastAsia="Arial" w:hAnsi="Arial"/>
                <w:sz w:val="16"/>
                <w:szCs w:val="16"/>
                <w:color w:val="0000EE"/>
              </w:rPr>
            </w:pPr>
            <w:hyperlink r:id="rId290">
              <w:r>
                <w:rPr>
                  <w:rFonts w:ascii="Arial" w:cs="Arial" w:eastAsia="Arial" w:hAnsi="Arial"/>
                  <w:sz w:val="16"/>
                  <w:szCs w:val="16"/>
                  <w:color w:val="0000EE"/>
                </w:rPr>
                <w:t>Letter Agreement by and between Century Therapeutics, Inc. and FUJIFILM Cellular Dynamics, Inc.,</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3180" w:type="dxa"/>
            <w:vAlign w:val="bottom"/>
            <w:gridSpan w:val="1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6"/>
          </w:tcPr>
          <w:p>
            <w:pPr>
              <w:spacing w:after="0" w:line="169" w:lineRule="exact"/>
              <w:rPr>
                <w:rFonts w:ascii="Arial" w:cs="Arial" w:eastAsia="Arial" w:hAnsi="Arial"/>
                <w:sz w:val="16"/>
                <w:szCs w:val="16"/>
                <w:color w:val="0000EE"/>
              </w:rPr>
            </w:pPr>
            <w:hyperlink r:id="rId290">
              <w:r>
                <w:rPr>
                  <w:rFonts w:ascii="Arial" w:cs="Arial" w:eastAsia="Arial" w:hAnsi="Arial"/>
                  <w:sz w:val="16"/>
                  <w:szCs w:val="16"/>
                  <w:color w:val="0000EE"/>
                </w:rPr>
                <w:t>dated January 7, 2022 (incorporated by reference to Exhibit 10.25 to the Company’s Annual Report on</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32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290">
              <w:r>
                <w:rPr>
                  <w:rFonts w:ascii="Arial" w:cs="Arial" w:eastAsia="Arial" w:hAnsi="Arial"/>
                  <w:sz w:val="16"/>
                  <w:szCs w:val="16"/>
                  <w:color w:val="0000EE"/>
                </w:rPr>
                <w:t>Form 10-K (File No. 001-40498), dated March 17, 2022)</w:t>
              </w:r>
            </w:hyperlink>
          </w:p>
        </w:tc>
        <w:tc>
          <w:tcPr>
            <w:tcW w:w="32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726"/>
        </w:trPr>
        <w:tc>
          <w:tcPr>
            <w:tcW w:w="1360" w:type="dxa"/>
            <w:vAlign w:val="bottom"/>
          </w:tcPr>
          <w:p>
            <w:pPr>
              <w:spacing w:after="0"/>
              <w:rPr>
                <w:sz w:val="24"/>
                <w:szCs w:val="24"/>
                <w:color w:val="auto"/>
              </w:rPr>
            </w:pPr>
          </w:p>
        </w:tc>
        <w:tc>
          <w:tcPr>
            <w:tcW w:w="4020" w:type="dxa"/>
            <w:vAlign w:val="bottom"/>
            <w:tcBorders>
              <w:top w:val="single" w:sz="8" w:color="0000EE"/>
            </w:tcBorders>
            <w:gridSpan w:val="4"/>
          </w:tcPr>
          <w:p>
            <w:pPr>
              <w:ind w:left="2960"/>
              <w:spacing w:after="0"/>
              <w:rPr>
                <w:sz w:val="20"/>
                <w:szCs w:val="20"/>
                <w:color w:val="auto"/>
              </w:rPr>
            </w:pPr>
            <w:r>
              <w:rPr>
                <w:rFonts w:ascii="Arial" w:cs="Arial" w:eastAsia="Arial" w:hAnsi="Arial"/>
                <w:sz w:val="18"/>
                <w:szCs w:val="18"/>
                <w:color w:val="auto"/>
              </w:rPr>
              <w:t>198</w:t>
            </w: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1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98" w:name="page199"/>
    <w:bookmarkEnd w:id="1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9"/>
              </w:rPr>
              <w:t>10.27*</w:t>
            </w:r>
          </w:p>
        </w:tc>
        <w:tc>
          <w:tcPr>
            <w:tcW w:w="7520" w:type="dxa"/>
            <w:vAlign w:val="bottom"/>
            <w:gridSpan w:val="37"/>
          </w:tcPr>
          <w:p>
            <w:pPr>
              <w:spacing w:after="0"/>
              <w:rPr>
                <w:rFonts w:ascii="Arial" w:cs="Arial" w:eastAsia="Arial" w:hAnsi="Arial"/>
                <w:sz w:val="16"/>
                <w:szCs w:val="16"/>
                <w:color w:val="0000EE"/>
              </w:rPr>
            </w:pPr>
            <w:hyperlink r:id="rId291">
              <w:r>
                <w:rPr>
                  <w:rFonts w:ascii="Arial" w:cs="Arial" w:eastAsia="Arial" w:hAnsi="Arial"/>
                  <w:sz w:val="16"/>
                  <w:szCs w:val="16"/>
                  <w:color w:val="0000EE"/>
                </w:rPr>
                <w:t>Manufacturing Agreement, by and between Century Therapeutics, Inc. and FUJIFILM Cellular</w:t>
              </w:r>
            </w:hyperlink>
          </w:p>
        </w:tc>
      </w:tr>
      <w:tr>
        <w:trPr>
          <w:trHeight w:val="20"/>
        </w:trPr>
        <w:tc>
          <w:tcPr>
            <w:tcW w:w="11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7520" w:type="dxa"/>
            <w:vAlign w:val="bottom"/>
            <w:gridSpan w:val="37"/>
          </w:tcPr>
          <w:p>
            <w:pPr>
              <w:spacing w:after="0" w:line="169" w:lineRule="exact"/>
              <w:rPr>
                <w:rFonts w:ascii="Arial" w:cs="Arial" w:eastAsia="Arial" w:hAnsi="Arial"/>
                <w:sz w:val="16"/>
                <w:szCs w:val="16"/>
                <w:color w:val="0000EE"/>
              </w:rPr>
            </w:pPr>
            <w:hyperlink r:id="rId291">
              <w:r>
                <w:rPr>
                  <w:rFonts w:ascii="Arial" w:cs="Arial" w:eastAsia="Arial" w:hAnsi="Arial"/>
                  <w:sz w:val="16"/>
                  <w:szCs w:val="16"/>
                  <w:color w:val="0000EE"/>
                </w:rPr>
                <w:t>Dynamics, Inc., dated March 23, 2021 (incorporated by reference to Exhibit 10.25 to the Company’s</w:t>
              </w:r>
            </w:hyperlink>
          </w:p>
        </w:tc>
      </w:tr>
      <w:tr>
        <w:trPr>
          <w:trHeight w:val="169"/>
        </w:trPr>
        <w:tc>
          <w:tcPr>
            <w:tcW w:w="114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13"/>
          </w:tcPr>
          <w:p>
            <w:pPr>
              <w:spacing w:after="0" w:line="169" w:lineRule="exact"/>
              <w:rPr>
                <w:rFonts w:ascii="Arial" w:cs="Arial" w:eastAsia="Arial" w:hAnsi="Arial"/>
                <w:sz w:val="16"/>
                <w:szCs w:val="16"/>
                <w:color w:val="0000EE"/>
              </w:rPr>
            </w:pPr>
            <w:hyperlink r:id="rId291">
              <w:r>
                <w:rPr>
                  <w:rFonts w:ascii="Arial" w:cs="Arial" w:eastAsia="Arial" w:hAnsi="Arial"/>
                  <w:sz w:val="16"/>
                  <w:szCs w:val="16"/>
                  <w:color w:val="0000EE"/>
                </w:rPr>
                <w:t>Registration Statement on Form S-1 (File No. 333-256648), dated May 28, 2021)</w:t>
              </w:r>
            </w:hyperlink>
          </w:p>
        </w:tc>
        <w:tc>
          <w:tcPr>
            <w:tcW w:w="1340" w:type="dxa"/>
            <w:vAlign w:val="bottom"/>
            <w:tcBorders>
              <w:top w:val="single" w:sz="8" w:color="0000EE"/>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9"/>
              </w:rPr>
              <w:t>10.28*</w:t>
            </w:r>
          </w:p>
        </w:tc>
        <w:tc>
          <w:tcPr>
            <w:tcW w:w="7520" w:type="dxa"/>
            <w:vAlign w:val="bottom"/>
            <w:gridSpan w:val="37"/>
          </w:tcPr>
          <w:p>
            <w:pPr>
              <w:spacing w:after="0"/>
              <w:rPr>
                <w:rFonts w:ascii="Arial" w:cs="Arial" w:eastAsia="Arial" w:hAnsi="Arial"/>
                <w:sz w:val="16"/>
                <w:szCs w:val="16"/>
                <w:color w:val="0000EE"/>
              </w:rPr>
            </w:pPr>
            <w:hyperlink r:id="rId292">
              <w:r>
                <w:rPr>
                  <w:rFonts w:ascii="Arial" w:cs="Arial" w:eastAsia="Arial" w:hAnsi="Arial"/>
                  <w:sz w:val="16"/>
                  <w:szCs w:val="16"/>
                  <w:color w:val="0000EE"/>
                </w:rPr>
                <w:t>Loan and Security Agreement, by and between Century Therapeutics, Inc. and Hercules Capital, Inc.,</w:t>
              </w:r>
            </w:hyperlink>
          </w:p>
        </w:tc>
      </w:tr>
      <w:tr>
        <w:trPr>
          <w:trHeight w:val="169"/>
        </w:trPr>
        <w:tc>
          <w:tcPr>
            <w:tcW w:w="1140" w:type="dxa"/>
            <w:vAlign w:val="bottom"/>
          </w:tcPr>
          <w:p>
            <w:pPr>
              <w:spacing w:after="0"/>
              <w:rPr>
                <w:sz w:val="14"/>
                <w:szCs w:val="14"/>
                <w:color w:val="auto"/>
              </w:rPr>
            </w:pPr>
          </w:p>
        </w:tc>
        <w:tc>
          <w:tcPr>
            <w:tcW w:w="7280" w:type="dxa"/>
            <w:vAlign w:val="bottom"/>
            <w:tcBorders>
              <w:top w:val="single" w:sz="8" w:color="0000EE"/>
            </w:tcBorders>
            <w:gridSpan w:val="30"/>
          </w:tcPr>
          <w:p>
            <w:pPr>
              <w:spacing w:after="0" w:line="169" w:lineRule="exact"/>
              <w:rPr>
                <w:rFonts w:ascii="Arial" w:cs="Arial" w:eastAsia="Arial" w:hAnsi="Arial"/>
                <w:sz w:val="16"/>
                <w:szCs w:val="16"/>
                <w:color w:val="0000EE"/>
              </w:rPr>
            </w:pPr>
            <w:hyperlink r:id="rId292">
              <w:r>
                <w:rPr>
                  <w:rFonts w:ascii="Arial" w:cs="Arial" w:eastAsia="Arial" w:hAnsi="Arial"/>
                  <w:sz w:val="16"/>
                  <w:szCs w:val="16"/>
                  <w:color w:val="0000EE"/>
                </w:rPr>
                <w:t>dated September 14, 2020 (incorporated by reference to Exhibit 10.26 to the Company’s Registration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7240" w:type="dxa"/>
            <w:vAlign w:val="bottom"/>
            <w:tcBorders>
              <w:top w:val="single" w:sz="8" w:color="0000EE"/>
            </w:tcBorders>
            <w:gridSpan w:val="28"/>
          </w:tcPr>
          <w:p>
            <w:pPr>
              <w:spacing w:after="0" w:line="169" w:lineRule="exact"/>
              <w:rPr>
                <w:rFonts w:ascii="Arial" w:cs="Arial" w:eastAsia="Arial" w:hAnsi="Arial"/>
                <w:sz w:val="16"/>
                <w:szCs w:val="16"/>
                <w:color w:val="0000EE"/>
              </w:rPr>
            </w:pPr>
            <w:hyperlink r:id="rId292">
              <w:r>
                <w:rPr>
                  <w:rFonts w:ascii="Arial" w:cs="Arial" w:eastAsia="Arial" w:hAnsi="Arial"/>
                  <w:sz w:val="16"/>
                  <w:szCs w:val="16"/>
                  <w:color w:val="0000EE"/>
                </w:rPr>
                <w:t>Statement on Form S-1 (File No. 333-256648), dated May 28, 2021)</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10.29</w:t>
            </w:r>
          </w:p>
        </w:tc>
        <w:tc>
          <w:tcPr>
            <w:tcW w:w="7520" w:type="dxa"/>
            <w:vAlign w:val="bottom"/>
            <w:gridSpan w:val="37"/>
          </w:tcPr>
          <w:p>
            <w:pPr>
              <w:spacing w:after="0"/>
              <w:rPr>
                <w:rFonts w:ascii="Arial" w:cs="Arial" w:eastAsia="Arial" w:hAnsi="Arial"/>
                <w:sz w:val="16"/>
                <w:szCs w:val="16"/>
                <w:color w:val="0000EE"/>
              </w:rPr>
            </w:pPr>
            <w:hyperlink r:id="rId293">
              <w:r>
                <w:rPr>
                  <w:rFonts w:ascii="Arial" w:cs="Arial" w:eastAsia="Arial" w:hAnsi="Arial"/>
                  <w:sz w:val="16"/>
                  <w:szCs w:val="16"/>
                  <w:color w:val="0000EE"/>
                </w:rPr>
                <w:t>Amendment No. 1 to Loan and Security Agreement, by and between Century Therapeutics, Inc. and</w:t>
              </w:r>
            </w:hyperlink>
          </w:p>
        </w:tc>
      </w:tr>
      <w:tr>
        <w:trPr>
          <w:trHeight w:val="20"/>
        </w:trPr>
        <w:tc>
          <w:tcPr>
            <w:tcW w:w="11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7520" w:type="dxa"/>
            <w:vAlign w:val="bottom"/>
            <w:gridSpan w:val="37"/>
          </w:tcPr>
          <w:p>
            <w:pPr>
              <w:spacing w:after="0" w:line="169" w:lineRule="exact"/>
              <w:rPr>
                <w:rFonts w:ascii="Arial" w:cs="Arial" w:eastAsia="Arial" w:hAnsi="Arial"/>
                <w:sz w:val="16"/>
                <w:szCs w:val="16"/>
                <w:color w:val="0000EE"/>
              </w:rPr>
            </w:pPr>
            <w:hyperlink r:id="rId293">
              <w:r>
                <w:rPr>
                  <w:rFonts w:ascii="Arial" w:cs="Arial" w:eastAsia="Arial" w:hAnsi="Arial"/>
                  <w:sz w:val="16"/>
                  <w:szCs w:val="16"/>
                  <w:color w:val="0000EE"/>
                </w:rPr>
                <w:t>Hercules Capital, Inc., dated May 13, 2022 (incorporated by reference to Exhibit 10.1 to the Company’s</w:t>
              </w:r>
            </w:hyperlink>
          </w:p>
        </w:tc>
      </w:tr>
      <w:tr>
        <w:trPr>
          <w:trHeight w:val="169"/>
        </w:trPr>
        <w:tc>
          <w:tcPr>
            <w:tcW w:w="1140" w:type="dxa"/>
            <w:vAlign w:val="bottom"/>
          </w:tcPr>
          <w:p>
            <w:pPr>
              <w:spacing w:after="0"/>
              <w:rPr>
                <w:sz w:val="14"/>
                <w:szCs w:val="14"/>
                <w:color w:val="auto"/>
              </w:rPr>
            </w:pPr>
          </w:p>
        </w:tc>
        <w:tc>
          <w:tcPr>
            <w:tcW w:w="7380" w:type="dxa"/>
            <w:vAlign w:val="bottom"/>
            <w:tcBorders>
              <w:top w:val="single" w:sz="8" w:color="0000EE"/>
            </w:tcBorders>
            <w:gridSpan w:val="33"/>
          </w:tcPr>
          <w:p>
            <w:pPr>
              <w:spacing w:after="0" w:line="169" w:lineRule="exact"/>
              <w:rPr>
                <w:rFonts w:ascii="Arial" w:cs="Arial" w:eastAsia="Arial" w:hAnsi="Arial"/>
                <w:sz w:val="16"/>
                <w:szCs w:val="16"/>
                <w:color w:val="0000EE"/>
              </w:rPr>
            </w:pPr>
            <w:hyperlink r:id="rId293">
              <w:r>
                <w:rPr>
                  <w:rFonts w:ascii="Arial" w:cs="Arial" w:eastAsia="Arial" w:hAnsi="Arial"/>
                  <w:sz w:val="16"/>
                  <w:szCs w:val="16"/>
                  <w:color w:val="0000EE"/>
                </w:rPr>
                <w:t>Quarterly Report on Form 10-Q (File No. 001-40498), dated August 11,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9"/>
              </w:rPr>
              <w:t>10.30*</w:t>
            </w:r>
          </w:p>
        </w:tc>
        <w:tc>
          <w:tcPr>
            <w:tcW w:w="7520" w:type="dxa"/>
            <w:vAlign w:val="bottom"/>
            <w:gridSpan w:val="37"/>
          </w:tcPr>
          <w:p>
            <w:pPr>
              <w:spacing w:after="0"/>
              <w:rPr>
                <w:rFonts w:ascii="Arial" w:cs="Arial" w:eastAsia="Arial" w:hAnsi="Arial"/>
                <w:sz w:val="16"/>
                <w:szCs w:val="16"/>
                <w:color w:val="0000EE"/>
              </w:rPr>
            </w:pPr>
            <w:hyperlink r:id="rId294">
              <w:r>
                <w:rPr>
                  <w:rFonts w:ascii="Arial" w:cs="Arial" w:eastAsia="Arial" w:hAnsi="Arial"/>
                  <w:sz w:val="16"/>
                  <w:szCs w:val="16"/>
                  <w:color w:val="0000EE"/>
                </w:rPr>
                <w:t>Sublicense Agreement, by and between iCELL Inc. and Century Therapeutics, Inc., dated March 20,</w:t>
              </w:r>
            </w:hyperlink>
          </w:p>
        </w:tc>
      </w:tr>
      <w:tr>
        <w:trPr>
          <w:trHeight w:val="169"/>
        </w:trPr>
        <w:tc>
          <w:tcPr>
            <w:tcW w:w="1140" w:type="dxa"/>
            <w:vAlign w:val="bottom"/>
          </w:tcPr>
          <w:p>
            <w:pPr>
              <w:spacing w:after="0"/>
              <w:rPr>
                <w:sz w:val="14"/>
                <w:szCs w:val="14"/>
                <w:color w:val="auto"/>
              </w:rPr>
            </w:pPr>
          </w:p>
        </w:tc>
        <w:tc>
          <w:tcPr>
            <w:tcW w:w="7180" w:type="dxa"/>
            <w:vAlign w:val="bottom"/>
            <w:tcBorders>
              <w:top w:val="single" w:sz="8" w:color="0000EE"/>
            </w:tcBorders>
            <w:gridSpan w:val="25"/>
          </w:tcPr>
          <w:p>
            <w:pPr>
              <w:spacing w:after="0" w:line="169" w:lineRule="exact"/>
              <w:rPr>
                <w:rFonts w:ascii="Arial" w:cs="Arial" w:eastAsia="Arial" w:hAnsi="Arial"/>
                <w:sz w:val="16"/>
                <w:szCs w:val="16"/>
                <w:color w:val="0000EE"/>
              </w:rPr>
            </w:pPr>
            <w:hyperlink r:id="rId294">
              <w:r>
                <w:rPr>
                  <w:rFonts w:ascii="Arial" w:cs="Arial" w:eastAsia="Arial" w:hAnsi="Arial"/>
                  <w:sz w:val="16"/>
                  <w:szCs w:val="16"/>
                  <w:color w:val="0000EE"/>
                </w:rPr>
                <w:t>2020 (incorporated by reference to Exhibit 10.27 to the Company’s Registration Statement on Form</w:t>
              </w:r>
            </w:hyperlink>
          </w:p>
        </w:tc>
        <w:tc>
          <w:tcPr>
            <w:tcW w:w="340" w:type="dxa"/>
            <w:vAlign w:val="bottom"/>
            <w:gridSpan w:val="12"/>
          </w:tcPr>
          <w:p>
            <w:pPr>
              <w:spacing w:after="0" w:line="169" w:lineRule="exact"/>
              <w:rPr>
                <w:rFonts w:ascii="Arial" w:cs="Arial" w:eastAsia="Arial" w:hAnsi="Arial"/>
                <w:sz w:val="16"/>
                <w:szCs w:val="16"/>
                <w:color w:val="0000EE"/>
              </w:rPr>
            </w:pPr>
            <w:hyperlink r:id="rId294">
              <w:r>
                <w:rPr>
                  <w:rFonts w:ascii="Arial" w:cs="Arial" w:eastAsia="Arial" w:hAnsi="Arial"/>
                  <w:sz w:val="16"/>
                  <w:szCs w:val="16"/>
                  <w:color w:val="0000EE"/>
                </w:rPr>
                <w:t>S-1</w:t>
              </w:r>
            </w:hyperlink>
          </w:p>
        </w:tc>
      </w:tr>
      <w:tr>
        <w:trPr>
          <w:trHeight w:val="169"/>
        </w:trPr>
        <w:tc>
          <w:tcPr>
            <w:tcW w:w="1140" w:type="dxa"/>
            <w:vAlign w:val="bottom"/>
          </w:tcPr>
          <w:p>
            <w:pPr>
              <w:spacing w:after="0"/>
              <w:rPr>
                <w:sz w:val="14"/>
                <w:szCs w:val="14"/>
                <w:color w:val="auto"/>
              </w:rPr>
            </w:pPr>
          </w:p>
        </w:tc>
        <w:tc>
          <w:tcPr>
            <w:tcW w:w="31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294">
              <w:r>
                <w:rPr>
                  <w:rFonts w:ascii="Arial" w:cs="Arial" w:eastAsia="Arial" w:hAnsi="Arial"/>
                  <w:sz w:val="16"/>
                  <w:szCs w:val="16"/>
                  <w:color w:val="0000EE"/>
                </w:rPr>
                <w:t>(File No. 333-256648), dated May 28, 2021)</w:t>
              </w:r>
            </w:hyperlink>
          </w:p>
        </w:tc>
        <w:tc>
          <w:tcPr>
            <w:tcW w:w="4240" w:type="dxa"/>
            <w:vAlign w:val="bottom"/>
            <w:tcBorders>
              <w:top w:val="single" w:sz="8" w:color="0000EE"/>
            </w:tcBorders>
            <w:gridSpan w:val="3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9"/>
              </w:rPr>
              <w:t>10.31*</w:t>
            </w:r>
          </w:p>
        </w:tc>
        <w:tc>
          <w:tcPr>
            <w:tcW w:w="7520" w:type="dxa"/>
            <w:vAlign w:val="bottom"/>
            <w:gridSpan w:val="37"/>
          </w:tcPr>
          <w:p>
            <w:pPr>
              <w:spacing w:after="0"/>
              <w:rPr>
                <w:rFonts w:ascii="Arial" w:cs="Arial" w:eastAsia="Arial" w:hAnsi="Arial"/>
                <w:sz w:val="16"/>
                <w:szCs w:val="16"/>
                <w:color w:val="0000EE"/>
              </w:rPr>
            </w:pPr>
            <w:hyperlink r:id="rId295">
              <w:r>
                <w:rPr>
                  <w:rFonts w:ascii="Arial" w:cs="Arial" w:eastAsia="Arial" w:hAnsi="Arial"/>
                  <w:sz w:val="16"/>
                  <w:szCs w:val="16"/>
                  <w:color w:val="0000EE"/>
                </w:rPr>
                <w:t>License Agreement, by and among the Governing Council of the University of Toronto, the McMaster</w:t>
              </w:r>
            </w:hyperlink>
          </w:p>
        </w:tc>
      </w:tr>
      <w:tr>
        <w:trPr>
          <w:trHeight w:val="169"/>
        </w:trPr>
        <w:tc>
          <w:tcPr>
            <w:tcW w:w="1140" w:type="dxa"/>
            <w:vAlign w:val="bottom"/>
          </w:tcPr>
          <w:p>
            <w:pPr>
              <w:spacing w:after="0"/>
              <w:rPr>
                <w:sz w:val="14"/>
                <w:szCs w:val="14"/>
                <w:color w:val="auto"/>
              </w:rPr>
            </w:pPr>
          </w:p>
        </w:tc>
        <w:tc>
          <w:tcPr>
            <w:tcW w:w="7200" w:type="dxa"/>
            <w:vAlign w:val="bottom"/>
            <w:tcBorders>
              <w:top w:val="single" w:sz="8" w:color="0000EE"/>
            </w:tcBorders>
            <w:gridSpan w:val="26"/>
          </w:tcPr>
          <w:p>
            <w:pPr>
              <w:spacing w:after="0" w:line="169" w:lineRule="exact"/>
              <w:rPr>
                <w:rFonts w:ascii="Arial" w:cs="Arial" w:eastAsia="Arial" w:hAnsi="Arial"/>
                <w:sz w:val="16"/>
                <w:szCs w:val="16"/>
                <w:color w:val="0000EE"/>
              </w:rPr>
            </w:pPr>
            <w:hyperlink r:id="rId295">
              <w:r>
                <w:rPr>
                  <w:rFonts w:ascii="Arial" w:cs="Arial" w:eastAsia="Arial" w:hAnsi="Arial"/>
                  <w:sz w:val="16"/>
                  <w:szCs w:val="16"/>
                  <w:color w:val="0000EE"/>
                </w:rPr>
                <w:t>University and Empirica Therapeutics, dated January 22, 2019 (incorporated by reference to</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660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r:id="rId295">
              <w:r>
                <w:rPr>
                  <w:rFonts w:ascii="Arial" w:cs="Arial" w:eastAsia="Arial" w:hAnsi="Arial"/>
                  <w:sz w:val="16"/>
                  <w:szCs w:val="16"/>
                  <w:color w:val="0000EE"/>
                </w:rPr>
                <w:t>Exhibit 10.28 to the Company’s Registration Statement on Form S-1 (File No. 333-256648),</w:t>
              </w:r>
            </w:hyperlink>
          </w:p>
        </w:tc>
        <w:tc>
          <w:tcPr>
            <w:tcW w:w="920" w:type="dxa"/>
            <w:vAlign w:val="bottom"/>
            <w:gridSpan w:val="21"/>
          </w:tcPr>
          <w:p>
            <w:pPr>
              <w:spacing w:after="0" w:line="169" w:lineRule="exact"/>
              <w:rPr>
                <w:rFonts w:ascii="Arial" w:cs="Arial" w:eastAsia="Arial" w:hAnsi="Arial"/>
                <w:sz w:val="16"/>
                <w:szCs w:val="16"/>
                <w:color w:val="0000EE"/>
              </w:rPr>
            </w:pPr>
            <w:hyperlink r:id="rId295">
              <w:r>
                <w:rPr>
                  <w:rFonts w:ascii="Arial" w:cs="Arial" w:eastAsia="Arial" w:hAnsi="Arial"/>
                  <w:sz w:val="16"/>
                  <w:szCs w:val="16"/>
                  <w:color w:val="0000EE"/>
                </w:rPr>
                <w:t>dated</w:t>
              </w:r>
            </w:hyperlink>
          </w:p>
        </w:tc>
      </w:tr>
      <w:tr>
        <w:trPr>
          <w:trHeight w:val="169"/>
        </w:trPr>
        <w:tc>
          <w:tcPr>
            <w:tcW w:w="1140" w:type="dxa"/>
            <w:vAlign w:val="bottom"/>
          </w:tcPr>
          <w:p>
            <w:pPr>
              <w:spacing w:after="0"/>
              <w:rPr>
                <w:sz w:val="14"/>
                <w:szCs w:val="14"/>
                <w:color w:val="auto"/>
              </w:rPr>
            </w:pPr>
          </w:p>
        </w:tc>
        <w:tc>
          <w:tcPr>
            <w:tcW w:w="104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9"/>
              </w:rPr>
            </w:pPr>
            <w:hyperlink r:id="rId295">
              <w:r>
                <w:rPr>
                  <w:rFonts w:ascii="Arial" w:cs="Arial" w:eastAsia="Arial" w:hAnsi="Arial"/>
                  <w:sz w:val="16"/>
                  <w:szCs w:val="16"/>
                  <w:color w:val="0000EE"/>
                  <w:w w:val="99"/>
                </w:rPr>
                <w:t>May 28, 2021)</w:t>
              </w:r>
            </w:hyperlink>
          </w:p>
        </w:tc>
        <w:tc>
          <w:tcPr>
            <w:tcW w:w="5980" w:type="dxa"/>
            <w:vAlign w:val="bottom"/>
            <w:tcBorders>
              <w:top w:val="single" w:sz="8" w:color="0000EE"/>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10.32</w:t>
            </w:r>
          </w:p>
        </w:tc>
        <w:tc>
          <w:tcPr>
            <w:tcW w:w="7220" w:type="dxa"/>
            <w:vAlign w:val="bottom"/>
            <w:tcBorders>
              <w:bottom w:val="single" w:sz="8" w:color="0000EE"/>
            </w:tcBorders>
            <w:gridSpan w:val="27"/>
          </w:tcPr>
          <w:p>
            <w:pPr>
              <w:spacing w:after="0"/>
              <w:rPr>
                <w:rFonts w:ascii="Arial" w:cs="Arial" w:eastAsia="Arial" w:hAnsi="Arial"/>
                <w:sz w:val="16"/>
                <w:szCs w:val="16"/>
                <w:color w:val="0000EE"/>
              </w:rPr>
            </w:pPr>
            <w:hyperlink r:id="rId296">
              <w:r>
                <w:rPr>
                  <w:rFonts w:ascii="Arial" w:cs="Arial" w:eastAsia="Arial" w:hAnsi="Arial"/>
                  <w:sz w:val="16"/>
                  <w:szCs w:val="16"/>
                  <w:color w:val="0000EE"/>
                </w:rPr>
                <w:t>License Agreement, by and between Inscripta, Inc. and Century Therapeutics, Inc., dated January 1,</w:t>
              </w:r>
            </w:hyperlink>
          </w:p>
        </w:tc>
        <w:tc>
          <w:tcPr>
            <w:tcW w:w="300" w:type="dxa"/>
            <w:vAlign w:val="bottom"/>
            <w:gridSpan w:val="10"/>
          </w:tcPr>
          <w:p>
            <w:pPr>
              <w:spacing w:after="0"/>
              <w:rPr>
                <w:sz w:val="20"/>
                <w:szCs w:val="20"/>
                <w:color w:val="auto"/>
              </w:rPr>
            </w:pPr>
          </w:p>
        </w:tc>
      </w:tr>
      <w:tr>
        <w:trPr>
          <w:trHeight w:val="169"/>
        </w:trPr>
        <w:tc>
          <w:tcPr>
            <w:tcW w:w="1140" w:type="dxa"/>
            <w:vAlign w:val="bottom"/>
          </w:tcPr>
          <w:p>
            <w:pPr>
              <w:spacing w:after="0"/>
              <w:rPr>
                <w:sz w:val="14"/>
                <w:szCs w:val="14"/>
                <w:color w:val="auto"/>
              </w:rPr>
            </w:pPr>
          </w:p>
        </w:tc>
        <w:tc>
          <w:tcPr>
            <w:tcW w:w="7520" w:type="dxa"/>
            <w:vAlign w:val="bottom"/>
            <w:gridSpan w:val="37"/>
          </w:tcPr>
          <w:p>
            <w:pPr>
              <w:spacing w:after="0" w:line="169" w:lineRule="exact"/>
              <w:rPr>
                <w:rFonts w:ascii="Arial" w:cs="Arial" w:eastAsia="Arial" w:hAnsi="Arial"/>
                <w:sz w:val="16"/>
                <w:szCs w:val="16"/>
                <w:color w:val="0000EE"/>
              </w:rPr>
            </w:pPr>
            <w:hyperlink r:id="rId296">
              <w:r>
                <w:rPr>
                  <w:rFonts w:ascii="Arial" w:cs="Arial" w:eastAsia="Arial" w:hAnsi="Arial"/>
                  <w:sz w:val="16"/>
                  <w:szCs w:val="16"/>
                  <w:color w:val="0000EE"/>
                </w:rPr>
                <w:t>2019 (incorporated by reference to Exhibit 10.29 to the Company’s Registration Statement on Form S-1</w:t>
              </w:r>
            </w:hyperlink>
          </w:p>
        </w:tc>
      </w:tr>
      <w:tr>
        <w:trPr>
          <w:trHeight w:val="169"/>
        </w:trPr>
        <w:tc>
          <w:tcPr>
            <w:tcW w:w="1140" w:type="dxa"/>
            <w:vAlign w:val="bottom"/>
          </w:tcPr>
          <w:p>
            <w:pPr>
              <w:spacing w:after="0"/>
              <w:rPr>
                <w:sz w:val="14"/>
                <w:szCs w:val="14"/>
                <w:color w:val="auto"/>
              </w:rPr>
            </w:pPr>
          </w:p>
        </w:tc>
        <w:tc>
          <w:tcPr>
            <w:tcW w:w="31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296">
              <w:r>
                <w:rPr>
                  <w:rFonts w:ascii="Arial" w:cs="Arial" w:eastAsia="Arial" w:hAnsi="Arial"/>
                  <w:sz w:val="16"/>
                  <w:szCs w:val="16"/>
                  <w:color w:val="0000EE"/>
                </w:rPr>
                <w:t>(File No. 333-256648), dated May 28, 2021)</w:t>
              </w:r>
            </w:hyperlink>
          </w:p>
        </w:tc>
        <w:tc>
          <w:tcPr>
            <w:tcW w:w="4240" w:type="dxa"/>
            <w:vAlign w:val="bottom"/>
            <w:tcBorders>
              <w:top w:val="single" w:sz="8" w:color="0000EE"/>
            </w:tcBorders>
            <w:gridSpan w:val="3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9"/>
              </w:rPr>
              <w:t>10.33*</w:t>
            </w:r>
          </w:p>
        </w:tc>
        <w:tc>
          <w:tcPr>
            <w:tcW w:w="7520" w:type="dxa"/>
            <w:vAlign w:val="bottom"/>
            <w:gridSpan w:val="37"/>
          </w:tcPr>
          <w:p>
            <w:pPr>
              <w:spacing w:after="0"/>
              <w:rPr>
                <w:rFonts w:ascii="Arial" w:cs="Arial" w:eastAsia="Arial" w:hAnsi="Arial"/>
                <w:sz w:val="16"/>
                <w:szCs w:val="16"/>
                <w:color w:val="0000EE"/>
              </w:rPr>
            </w:pPr>
            <w:hyperlink r:id="rId297">
              <w:r>
                <w:rPr>
                  <w:rFonts w:ascii="Arial" w:cs="Arial" w:eastAsia="Arial" w:hAnsi="Arial"/>
                  <w:sz w:val="16"/>
                  <w:szCs w:val="16"/>
                  <w:color w:val="0000EE"/>
                </w:rPr>
                <w:t>Research Collaboration and License Agreement, by and between Century Therapeutics, Inc. and Bristol-</w:t>
              </w:r>
            </w:hyperlink>
          </w:p>
        </w:tc>
      </w:tr>
      <w:tr>
        <w:trPr>
          <w:trHeight w:val="169"/>
        </w:trPr>
        <w:tc>
          <w:tcPr>
            <w:tcW w:w="1140" w:type="dxa"/>
            <w:vAlign w:val="bottom"/>
          </w:tcPr>
          <w:p>
            <w:pPr>
              <w:spacing w:after="0"/>
              <w:rPr>
                <w:sz w:val="14"/>
                <w:szCs w:val="14"/>
                <w:color w:val="auto"/>
              </w:rPr>
            </w:pPr>
          </w:p>
        </w:tc>
        <w:tc>
          <w:tcPr>
            <w:tcW w:w="7500" w:type="dxa"/>
            <w:vAlign w:val="bottom"/>
            <w:tcBorders>
              <w:top w:val="single" w:sz="8" w:color="0000EE"/>
            </w:tcBorders>
            <w:gridSpan w:val="36"/>
          </w:tcPr>
          <w:p>
            <w:pPr>
              <w:spacing w:after="0" w:line="169" w:lineRule="exact"/>
              <w:rPr>
                <w:rFonts w:ascii="Arial" w:cs="Arial" w:eastAsia="Arial" w:hAnsi="Arial"/>
                <w:sz w:val="16"/>
                <w:szCs w:val="16"/>
                <w:color w:val="0000EE"/>
              </w:rPr>
            </w:pPr>
            <w:hyperlink r:id="rId297">
              <w:r>
                <w:rPr>
                  <w:rFonts w:ascii="Arial" w:cs="Arial" w:eastAsia="Arial" w:hAnsi="Arial"/>
                  <w:sz w:val="16"/>
                  <w:szCs w:val="16"/>
                  <w:color w:val="0000EE"/>
                </w:rPr>
                <w:t>Myers Squibb Company, dated January 7, 2022 (incorporated by reference to Exhibit 10.31 to the</w:t>
              </w:r>
            </w:hyperlink>
          </w:p>
        </w:tc>
        <w:tc>
          <w:tcPr>
            <w:tcW w:w="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6180" w:type="dxa"/>
            <w:vAlign w:val="bottom"/>
            <w:tcBorders>
              <w:top w:val="single" w:sz="8" w:color="0000EE"/>
              <w:bottom w:val="single" w:sz="8" w:color="0000EE"/>
            </w:tcBorders>
            <w:gridSpan w:val="15"/>
          </w:tcPr>
          <w:p>
            <w:pPr>
              <w:spacing w:after="0" w:line="169" w:lineRule="exact"/>
              <w:rPr>
                <w:rFonts w:ascii="Arial" w:cs="Arial" w:eastAsia="Arial" w:hAnsi="Arial"/>
                <w:sz w:val="16"/>
                <w:szCs w:val="16"/>
                <w:color w:val="0000EE"/>
              </w:rPr>
            </w:pPr>
            <w:hyperlink r:id="rId297">
              <w:r>
                <w:rPr>
                  <w:rFonts w:ascii="Arial" w:cs="Arial" w:eastAsia="Arial" w:hAnsi="Arial"/>
                  <w:sz w:val="16"/>
                  <w:szCs w:val="16"/>
                  <w:color w:val="0000EE"/>
                </w:rPr>
                <w:t>Company’s Annual Report on Form 10-K (File No. 001-40498), dated March 17, 2022)</w:t>
              </w:r>
            </w:hyperlink>
          </w:p>
        </w:tc>
        <w:tc>
          <w:tcPr>
            <w:tcW w:w="800" w:type="dxa"/>
            <w:vAlign w:val="bottom"/>
            <w:tcBorders>
              <w:top w:val="single" w:sz="8" w:color="0000EE"/>
            </w:tcBorders>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36"/>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10.34</w:t>
            </w:r>
            <w:r>
              <w:rPr>
                <w:rFonts w:ascii="Times New Roman" w:cs="Times New Roman" w:eastAsia="Times New Roman" w:hAnsi="Times New Roman"/>
                <w:sz w:val="17"/>
                <w:szCs w:val="17"/>
                <w:color w:val="231F20"/>
              </w:rPr>
              <w:t>·</w:t>
            </w:r>
          </w:p>
        </w:tc>
        <w:tc>
          <w:tcPr>
            <w:tcW w:w="7220" w:type="dxa"/>
            <w:vAlign w:val="bottom"/>
            <w:tcBorders>
              <w:bottom w:val="single" w:sz="8" w:color="0000EE"/>
            </w:tcBorders>
            <w:gridSpan w:val="27"/>
          </w:tcPr>
          <w:p>
            <w:pPr>
              <w:spacing w:after="0"/>
              <w:rPr>
                <w:rFonts w:ascii="Arial" w:cs="Arial" w:eastAsia="Arial" w:hAnsi="Arial"/>
                <w:sz w:val="16"/>
                <w:szCs w:val="16"/>
                <w:color w:val="0000EE"/>
              </w:rPr>
            </w:pPr>
            <w:hyperlink r:id="rId298">
              <w:r>
                <w:rPr>
                  <w:rFonts w:ascii="Arial" w:cs="Arial" w:eastAsia="Arial" w:hAnsi="Arial"/>
                  <w:sz w:val="16"/>
                  <w:szCs w:val="16"/>
                  <w:color w:val="0000EE"/>
                </w:rPr>
                <w:t>Executive Employment Agreement, by and between the Registrant and Osvaldo Flores, Ph.D., dated</w:t>
              </w:r>
            </w:hyperlink>
          </w:p>
        </w:tc>
        <w:tc>
          <w:tcPr>
            <w:tcW w:w="300" w:type="dxa"/>
            <w:vAlign w:val="bottom"/>
            <w:gridSpan w:val="10"/>
          </w:tcPr>
          <w:p>
            <w:pPr>
              <w:spacing w:after="0"/>
              <w:rPr>
                <w:sz w:val="20"/>
                <w:szCs w:val="20"/>
                <w:color w:val="auto"/>
              </w:rPr>
            </w:pPr>
          </w:p>
        </w:tc>
      </w:tr>
      <w:tr>
        <w:trPr>
          <w:trHeight w:val="169"/>
        </w:trPr>
        <w:tc>
          <w:tcPr>
            <w:tcW w:w="1140" w:type="dxa"/>
            <w:vAlign w:val="bottom"/>
          </w:tcPr>
          <w:p>
            <w:pPr>
              <w:spacing w:after="0"/>
              <w:rPr>
                <w:sz w:val="14"/>
                <w:szCs w:val="14"/>
                <w:color w:val="auto"/>
              </w:rPr>
            </w:pPr>
          </w:p>
        </w:tc>
        <w:tc>
          <w:tcPr>
            <w:tcW w:w="7520" w:type="dxa"/>
            <w:vAlign w:val="bottom"/>
            <w:gridSpan w:val="37"/>
          </w:tcPr>
          <w:p>
            <w:pPr>
              <w:spacing w:after="0" w:line="169" w:lineRule="exact"/>
              <w:rPr>
                <w:rFonts w:ascii="Arial" w:cs="Arial" w:eastAsia="Arial" w:hAnsi="Arial"/>
                <w:sz w:val="16"/>
                <w:szCs w:val="16"/>
                <w:color w:val="0000EE"/>
              </w:rPr>
            </w:pPr>
            <w:hyperlink r:id="rId298">
              <w:r>
                <w:rPr>
                  <w:rFonts w:ascii="Arial" w:cs="Arial" w:eastAsia="Arial" w:hAnsi="Arial"/>
                  <w:sz w:val="16"/>
                  <w:szCs w:val="16"/>
                  <w:color w:val="0000EE"/>
                </w:rPr>
                <w:t>May 26, 2021 (incorporated by reference to Exhibit 10.30 to the Company’s Registration Statement on</w:t>
              </w:r>
            </w:hyperlink>
          </w:p>
        </w:tc>
      </w:tr>
      <w:tr>
        <w:trPr>
          <w:trHeight w:val="169"/>
        </w:trPr>
        <w:tc>
          <w:tcPr>
            <w:tcW w:w="1140" w:type="dxa"/>
            <w:vAlign w:val="bottom"/>
          </w:tcPr>
          <w:p>
            <w:pPr>
              <w:spacing w:after="0"/>
              <w:rPr>
                <w:sz w:val="14"/>
                <w:szCs w:val="14"/>
                <w:color w:val="auto"/>
              </w:rPr>
            </w:pPr>
          </w:p>
        </w:tc>
        <w:tc>
          <w:tcPr>
            <w:tcW w:w="388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298">
              <w:r>
                <w:rPr>
                  <w:rFonts w:ascii="Arial" w:cs="Arial" w:eastAsia="Arial" w:hAnsi="Arial"/>
                  <w:sz w:val="16"/>
                  <w:szCs w:val="16"/>
                  <w:color w:val="0000EE"/>
                </w:rPr>
                <w:t>Form S-1 (File No. 333-256648), dated May 28, 2021)</w:t>
              </w:r>
            </w:hyperlink>
          </w:p>
        </w:tc>
        <w:tc>
          <w:tcPr>
            <w:tcW w:w="3440" w:type="dxa"/>
            <w:vAlign w:val="bottom"/>
            <w:tcBorders>
              <w:top w:val="single" w:sz="8" w:color="0000EE"/>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36"/>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10.35</w:t>
            </w:r>
            <w:r>
              <w:rPr>
                <w:rFonts w:ascii="Times New Roman" w:cs="Times New Roman" w:eastAsia="Times New Roman" w:hAnsi="Times New Roman"/>
                <w:sz w:val="17"/>
                <w:szCs w:val="17"/>
                <w:color w:val="231F20"/>
              </w:rPr>
              <w:t>·</w:t>
            </w:r>
          </w:p>
        </w:tc>
        <w:tc>
          <w:tcPr>
            <w:tcW w:w="7520" w:type="dxa"/>
            <w:vAlign w:val="bottom"/>
            <w:gridSpan w:val="37"/>
          </w:tcPr>
          <w:p>
            <w:pPr>
              <w:spacing w:after="0"/>
              <w:rPr>
                <w:rFonts w:ascii="Arial" w:cs="Arial" w:eastAsia="Arial" w:hAnsi="Arial"/>
                <w:sz w:val="16"/>
                <w:szCs w:val="16"/>
                <w:color w:val="0000EE"/>
              </w:rPr>
            </w:pPr>
            <w:hyperlink r:id="rId299">
              <w:r>
                <w:rPr>
                  <w:rFonts w:ascii="Arial" w:cs="Arial" w:eastAsia="Arial" w:hAnsi="Arial"/>
                  <w:sz w:val="16"/>
                  <w:szCs w:val="16"/>
                  <w:color w:val="0000EE"/>
                </w:rPr>
                <w:t>Executive Employment Agreement, by and between the Registrant and Michael Diem, M.D., dated</w:t>
              </w:r>
            </w:hyperlink>
          </w:p>
        </w:tc>
      </w:tr>
      <w:tr>
        <w:trPr>
          <w:trHeight w:val="169"/>
        </w:trPr>
        <w:tc>
          <w:tcPr>
            <w:tcW w:w="1140" w:type="dxa"/>
            <w:vAlign w:val="bottom"/>
          </w:tcPr>
          <w:p>
            <w:pPr>
              <w:spacing w:after="0"/>
              <w:rPr>
                <w:sz w:val="14"/>
                <w:szCs w:val="14"/>
                <w:color w:val="auto"/>
              </w:rPr>
            </w:pPr>
          </w:p>
        </w:tc>
        <w:tc>
          <w:tcPr>
            <w:tcW w:w="7040" w:type="dxa"/>
            <w:vAlign w:val="bottom"/>
            <w:tcBorders>
              <w:top w:val="single" w:sz="8" w:color="0000EE"/>
            </w:tcBorders>
            <w:gridSpan w:val="21"/>
          </w:tcPr>
          <w:p>
            <w:pPr>
              <w:spacing w:after="0" w:line="169" w:lineRule="exact"/>
              <w:rPr>
                <w:rFonts w:ascii="Arial" w:cs="Arial" w:eastAsia="Arial" w:hAnsi="Arial"/>
                <w:sz w:val="16"/>
                <w:szCs w:val="16"/>
                <w:color w:val="0000EE"/>
              </w:rPr>
            </w:pPr>
            <w:hyperlink r:id="rId299">
              <w:r>
                <w:rPr>
                  <w:rFonts w:ascii="Arial" w:cs="Arial" w:eastAsia="Arial" w:hAnsi="Arial"/>
                  <w:sz w:val="16"/>
                  <w:szCs w:val="16"/>
                  <w:color w:val="0000EE"/>
                </w:rPr>
                <w:t>May 26, 2021 (incorporated by reference to Exhibit 10.31 to the Company’s Registration Statement</w:t>
              </w:r>
            </w:hyperlink>
          </w:p>
        </w:tc>
        <w:tc>
          <w:tcPr>
            <w:tcW w:w="40" w:type="dxa"/>
            <w:vAlign w:val="bottom"/>
          </w:tcPr>
          <w:p>
            <w:pPr>
              <w:spacing w:after="0"/>
              <w:rPr>
                <w:sz w:val="14"/>
                <w:szCs w:val="14"/>
                <w:color w:val="auto"/>
              </w:rPr>
            </w:pPr>
          </w:p>
        </w:tc>
        <w:tc>
          <w:tcPr>
            <w:tcW w:w="440" w:type="dxa"/>
            <w:vAlign w:val="bottom"/>
            <w:gridSpan w:val="15"/>
          </w:tcPr>
          <w:p>
            <w:pPr>
              <w:ind w:left="60"/>
              <w:spacing w:after="0" w:line="169" w:lineRule="exact"/>
              <w:rPr>
                <w:rFonts w:ascii="Arial" w:cs="Arial" w:eastAsia="Arial" w:hAnsi="Arial"/>
                <w:sz w:val="16"/>
                <w:szCs w:val="16"/>
                <w:color w:val="0000EE"/>
              </w:rPr>
            </w:pPr>
            <w:hyperlink r:id="rId299">
              <w:r>
                <w:rPr>
                  <w:rFonts w:ascii="Arial" w:cs="Arial" w:eastAsia="Arial" w:hAnsi="Arial"/>
                  <w:sz w:val="16"/>
                  <w:szCs w:val="16"/>
                  <w:color w:val="0000EE"/>
                </w:rPr>
                <w:t>on</w:t>
              </w:r>
            </w:hyperlink>
          </w:p>
        </w:tc>
      </w:tr>
      <w:tr>
        <w:trPr>
          <w:trHeight w:val="169"/>
        </w:trPr>
        <w:tc>
          <w:tcPr>
            <w:tcW w:w="1140" w:type="dxa"/>
            <w:vAlign w:val="bottom"/>
          </w:tcPr>
          <w:p>
            <w:pPr>
              <w:spacing w:after="0"/>
              <w:rPr>
                <w:sz w:val="14"/>
                <w:szCs w:val="14"/>
                <w:color w:val="auto"/>
              </w:rPr>
            </w:pPr>
          </w:p>
        </w:tc>
        <w:tc>
          <w:tcPr>
            <w:tcW w:w="388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299">
              <w:r>
                <w:rPr>
                  <w:rFonts w:ascii="Arial" w:cs="Arial" w:eastAsia="Arial" w:hAnsi="Arial"/>
                  <w:sz w:val="16"/>
                  <w:szCs w:val="16"/>
                  <w:color w:val="0000EE"/>
                </w:rPr>
                <w:t>Form S-1 (File No. 333-256648), dated May 28, 2021)</w:t>
              </w:r>
            </w:hyperlink>
          </w:p>
        </w:tc>
        <w:tc>
          <w:tcPr>
            <w:tcW w:w="3440" w:type="dxa"/>
            <w:vAlign w:val="bottom"/>
            <w:tcBorders>
              <w:top w:val="single" w:sz="8" w:color="0000EE"/>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10.36</w:t>
            </w:r>
            <w:r>
              <w:rPr>
                <w:rFonts w:ascii="Times New Roman" w:cs="Times New Roman" w:eastAsia="Times New Roman" w:hAnsi="Times New Roman"/>
                <w:sz w:val="17"/>
                <w:szCs w:val="17"/>
                <w:color w:val="231F20"/>
              </w:rPr>
              <w:t>·</w:t>
            </w:r>
          </w:p>
        </w:tc>
        <w:tc>
          <w:tcPr>
            <w:tcW w:w="7520" w:type="dxa"/>
            <w:vAlign w:val="bottom"/>
            <w:gridSpan w:val="37"/>
          </w:tcPr>
          <w:p>
            <w:pPr>
              <w:spacing w:after="0"/>
              <w:rPr>
                <w:rFonts w:ascii="Arial" w:cs="Arial" w:eastAsia="Arial" w:hAnsi="Arial"/>
                <w:sz w:val="16"/>
                <w:szCs w:val="16"/>
                <w:color w:val="0000EE"/>
              </w:rPr>
            </w:pPr>
            <w:hyperlink r:id="rId300">
              <w:r>
                <w:rPr>
                  <w:rFonts w:ascii="Arial" w:cs="Arial" w:eastAsia="Arial" w:hAnsi="Arial"/>
                  <w:sz w:val="16"/>
                  <w:szCs w:val="16"/>
                  <w:color w:val="0000EE"/>
                </w:rPr>
                <w:t>Executive Employment Agreement, by and between the Registrant and Luis Borges, Ph.D., dated</w:t>
              </w:r>
            </w:hyperlink>
          </w:p>
        </w:tc>
      </w:tr>
      <w:tr>
        <w:trPr>
          <w:trHeight w:val="169"/>
        </w:trPr>
        <w:tc>
          <w:tcPr>
            <w:tcW w:w="1140" w:type="dxa"/>
            <w:vAlign w:val="bottom"/>
          </w:tcPr>
          <w:p>
            <w:pPr>
              <w:spacing w:after="0"/>
              <w:rPr>
                <w:sz w:val="14"/>
                <w:szCs w:val="14"/>
                <w:color w:val="auto"/>
              </w:rPr>
            </w:pPr>
          </w:p>
        </w:tc>
        <w:tc>
          <w:tcPr>
            <w:tcW w:w="7000" w:type="dxa"/>
            <w:vAlign w:val="bottom"/>
            <w:tcBorders>
              <w:top w:val="single" w:sz="8" w:color="0000EE"/>
            </w:tcBorders>
            <w:gridSpan w:val="19"/>
          </w:tcPr>
          <w:p>
            <w:pPr>
              <w:spacing w:after="0" w:line="169" w:lineRule="exact"/>
              <w:rPr>
                <w:rFonts w:ascii="Arial" w:cs="Arial" w:eastAsia="Arial" w:hAnsi="Arial"/>
                <w:sz w:val="16"/>
                <w:szCs w:val="16"/>
                <w:color w:val="0000EE"/>
                <w:w w:val="99"/>
              </w:rPr>
            </w:pPr>
            <w:hyperlink r:id="rId300">
              <w:r>
                <w:rPr>
                  <w:rFonts w:ascii="Arial" w:cs="Arial" w:eastAsia="Arial" w:hAnsi="Arial"/>
                  <w:sz w:val="16"/>
                  <w:szCs w:val="16"/>
                  <w:color w:val="0000EE"/>
                  <w:w w:val="99"/>
                </w:rPr>
                <w:t>May 26, 2021 (incorporated by reference to Exhibit 10.33 to the Company’s Registration Statement</w:t>
              </w:r>
            </w:hyperlink>
          </w:p>
        </w:tc>
        <w:tc>
          <w:tcPr>
            <w:tcW w:w="80" w:type="dxa"/>
            <w:vAlign w:val="bottom"/>
            <w:gridSpan w:val="3"/>
          </w:tcPr>
          <w:p>
            <w:pPr>
              <w:spacing w:after="0"/>
              <w:rPr>
                <w:sz w:val="14"/>
                <w:szCs w:val="14"/>
                <w:color w:val="auto"/>
              </w:rPr>
            </w:pPr>
          </w:p>
        </w:tc>
        <w:tc>
          <w:tcPr>
            <w:tcW w:w="440" w:type="dxa"/>
            <w:vAlign w:val="bottom"/>
            <w:gridSpan w:val="15"/>
          </w:tcPr>
          <w:p>
            <w:pPr>
              <w:ind w:left="60"/>
              <w:spacing w:after="0" w:line="169" w:lineRule="exact"/>
              <w:rPr>
                <w:rFonts w:ascii="Arial" w:cs="Arial" w:eastAsia="Arial" w:hAnsi="Arial"/>
                <w:sz w:val="16"/>
                <w:szCs w:val="16"/>
                <w:color w:val="0000EE"/>
              </w:rPr>
            </w:pPr>
            <w:hyperlink r:id="rId300">
              <w:r>
                <w:rPr>
                  <w:rFonts w:ascii="Arial" w:cs="Arial" w:eastAsia="Arial" w:hAnsi="Arial"/>
                  <w:sz w:val="16"/>
                  <w:szCs w:val="16"/>
                  <w:color w:val="0000EE"/>
                </w:rPr>
                <w:t>on</w:t>
              </w:r>
            </w:hyperlink>
          </w:p>
        </w:tc>
      </w:tr>
      <w:tr>
        <w:trPr>
          <w:trHeight w:val="169"/>
        </w:trPr>
        <w:tc>
          <w:tcPr>
            <w:tcW w:w="1140" w:type="dxa"/>
            <w:vAlign w:val="bottom"/>
          </w:tcPr>
          <w:p>
            <w:pPr>
              <w:spacing w:after="0"/>
              <w:rPr>
                <w:sz w:val="14"/>
                <w:szCs w:val="14"/>
                <w:color w:val="auto"/>
              </w:rPr>
            </w:pPr>
          </w:p>
        </w:tc>
        <w:tc>
          <w:tcPr>
            <w:tcW w:w="408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300">
              <w:r>
                <w:rPr>
                  <w:rFonts w:ascii="Arial" w:cs="Arial" w:eastAsia="Arial" w:hAnsi="Arial"/>
                  <w:sz w:val="16"/>
                  <w:szCs w:val="16"/>
                  <w:color w:val="0000EE"/>
                </w:rPr>
                <w:t>Form S-1/A (File No. 333-256648), dated June 14, 2021)</w:t>
              </w:r>
            </w:hyperlink>
          </w:p>
        </w:tc>
        <w:tc>
          <w:tcPr>
            <w:tcW w:w="3240" w:type="dxa"/>
            <w:vAlign w:val="bottom"/>
            <w:tcBorders>
              <w:top w:val="single" w:sz="8" w:color="0000EE"/>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36"/>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10.37</w:t>
            </w:r>
            <w:r>
              <w:rPr>
                <w:rFonts w:ascii="Times New Roman" w:cs="Times New Roman" w:eastAsia="Times New Roman" w:hAnsi="Times New Roman"/>
                <w:sz w:val="17"/>
                <w:szCs w:val="17"/>
                <w:color w:val="231F20"/>
              </w:rPr>
              <w:t>·</w:t>
            </w:r>
          </w:p>
        </w:tc>
        <w:tc>
          <w:tcPr>
            <w:tcW w:w="7200" w:type="dxa"/>
            <w:vAlign w:val="bottom"/>
            <w:tcBorders>
              <w:bottom w:val="single" w:sz="8" w:color="0000EE"/>
            </w:tcBorders>
            <w:gridSpan w:val="26"/>
          </w:tcPr>
          <w:p>
            <w:pPr>
              <w:spacing w:after="0"/>
              <w:rPr>
                <w:rFonts w:ascii="Arial" w:cs="Arial" w:eastAsia="Arial" w:hAnsi="Arial"/>
                <w:sz w:val="16"/>
                <w:szCs w:val="16"/>
                <w:color w:val="0000EE"/>
              </w:rPr>
            </w:pPr>
            <w:hyperlink r:id="rId301">
              <w:r>
                <w:rPr>
                  <w:rFonts w:ascii="Arial" w:cs="Arial" w:eastAsia="Arial" w:hAnsi="Arial"/>
                  <w:sz w:val="16"/>
                  <w:szCs w:val="16"/>
                  <w:color w:val="0000EE"/>
                </w:rPr>
                <w:t>Executive Employment Agreement, by and between the Registrant and Adrienne Farid, Ph.D., dated</w:t>
              </w:r>
            </w:hyperlink>
          </w:p>
        </w:tc>
        <w:tc>
          <w:tcPr>
            <w:tcW w:w="320" w:type="dxa"/>
            <w:vAlign w:val="bottom"/>
            <w:gridSpan w:val="11"/>
          </w:tcPr>
          <w:p>
            <w:pPr>
              <w:spacing w:after="0"/>
              <w:rPr>
                <w:sz w:val="20"/>
                <w:szCs w:val="20"/>
                <w:color w:val="auto"/>
              </w:rPr>
            </w:pPr>
          </w:p>
        </w:tc>
      </w:tr>
      <w:tr>
        <w:trPr>
          <w:trHeight w:val="169"/>
        </w:trPr>
        <w:tc>
          <w:tcPr>
            <w:tcW w:w="1140" w:type="dxa"/>
            <w:vAlign w:val="bottom"/>
          </w:tcPr>
          <w:p>
            <w:pPr>
              <w:spacing w:after="0"/>
              <w:rPr>
                <w:sz w:val="14"/>
                <w:szCs w:val="14"/>
                <w:color w:val="auto"/>
              </w:rPr>
            </w:pPr>
          </w:p>
        </w:tc>
        <w:tc>
          <w:tcPr>
            <w:tcW w:w="7520" w:type="dxa"/>
            <w:vAlign w:val="bottom"/>
            <w:gridSpan w:val="37"/>
          </w:tcPr>
          <w:p>
            <w:pPr>
              <w:spacing w:after="0" w:line="169" w:lineRule="exact"/>
              <w:rPr>
                <w:rFonts w:ascii="Arial" w:cs="Arial" w:eastAsia="Arial" w:hAnsi="Arial"/>
                <w:sz w:val="16"/>
                <w:szCs w:val="16"/>
                <w:color w:val="0000EE"/>
              </w:rPr>
            </w:pPr>
            <w:hyperlink r:id="rId301">
              <w:r>
                <w:rPr>
                  <w:rFonts w:ascii="Arial" w:cs="Arial" w:eastAsia="Arial" w:hAnsi="Arial"/>
                  <w:sz w:val="16"/>
                  <w:szCs w:val="16"/>
                  <w:color w:val="0000EE"/>
                </w:rPr>
                <w:t>May 26, 2021 (incorporated by reference to Exhibit 10.34 to the Company’s Registration Statement on</w:t>
              </w:r>
            </w:hyperlink>
          </w:p>
        </w:tc>
      </w:tr>
      <w:tr>
        <w:trPr>
          <w:trHeight w:val="169"/>
        </w:trPr>
        <w:tc>
          <w:tcPr>
            <w:tcW w:w="1140" w:type="dxa"/>
            <w:vAlign w:val="bottom"/>
          </w:tcPr>
          <w:p>
            <w:pPr>
              <w:spacing w:after="0"/>
              <w:rPr>
                <w:sz w:val="14"/>
                <w:szCs w:val="14"/>
                <w:color w:val="auto"/>
              </w:rPr>
            </w:pPr>
          </w:p>
        </w:tc>
        <w:tc>
          <w:tcPr>
            <w:tcW w:w="408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301">
              <w:r>
                <w:rPr>
                  <w:rFonts w:ascii="Arial" w:cs="Arial" w:eastAsia="Arial" w:hAnsi="Arial"/>
                  <w:sz w:val="16"/>
                  <w:szCs w:val="16"/>
                  <w:color w:val="0000EE"/>
                </w:rPr>
                <w:t>Form S-1/A (File No. 333-256648), dated June 14, 2021)</w:t>
              </w:r>
            </w:hyperlink>
          </w:p>
        </w:tc>
        <w:tc>
          <w:tcPr>
            <w:tcW w:w="3240" w:type="dxa"/>
            <w:vAlign w:val="bottom"/>
            <w:tcBorders>
              <w:top w:val="single" w:sz="8" w:color="0000EE"/>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36"/>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10.38</w:t>
            </w:r>
            <w:r>
              <w:rPr>
                <w:rFonts w:ascii="Times New Roman" w:cs="Times New Roman" w:eastAsia="Times New Roman" w:hAnsi="Times New Roman"/>
                <w:sz w:val="17"/>
                <w:szCs w:val="17"/>
                <w:color w:val="231F20"/>
              </w:rPr>
              <w:t>·</w:t>
            </w:r>
          </w:p>
        </w:tc>
        <w:tc>
          <w:tcPr>
            <w:tcW w:w="7520" w:type="dxa"/>
            <w:vAlign w:val="bottom"/>
            <w:gridSpan w:val="37"/>
          </w:tcPr>
          <w:p>
            <w:pPr>
              <w:spacing w:after="0"/>
              <w:rPr>
                <w:rFonts w:ascii="Arial" w:cs="Arial" w:eastAsia="Arial" w:hAnsi="Arial"/>
                <w:sz w:val="16"/>
                <w:szCs w:val="16"/>
                <w:color w:val="0000EE"/>
              </w:rPr>
            </w:pPr>
            <w:hyperlink r:id="rId302">
              <w:r>
                <w:rPr>
                  <w:rFonts w:ascii="Arial" w:cs="Arial" w:eastAsia="Arial" w:hAnsi="Arial"/>
                  <w:sz w:val="16"/>
                  <w:szCs w:val="16"/>
                  <w:color w:val="0000EE"/>
                </w:rPr>
                <w:t>Executive Employment Agreement, by and between the Registrant and Gregory Russotti, Ph.D., dated</w:t>
              </w:r>
            </w:hyperlink>
          </w:p>
        </w:tc>
      </w:tr>
      <w:tr>
        <w:trPr>
          <w:trHeight w:val="169"/>
        </w:trPr>
        <w:tc>
          <w:tcPr>
            <w:tcW w:w="1140" w:type="dxa"/>
            <w:vAlign w:val="bottom"/>
          </w:tcPr>
          <w:p>
            <w:pPr>
              <w:spacing w:after="0"/>
              <w:rPr>
                <w:sz w:val="14"/>
                <w:szCs w:val="14"/>
                <w:color w:val="auto"/>
              </w:rPr>
            </w:pPr>
          </w:p>
        </w:tc>
        <w:tc>
          <w:tcPr>
            <w:tcW w:w="7340" w:type="dxa"/>
            <w:vAlign w:val="bottom"/>
            <w:tcBorders>
              <w:top w:val="single" w:sz="8" w:color="0000EE"/>
            </w:tcBorders>
            <w:gridSpan w:val="32"/>
          </w:tcPr>
          <w:p>
            <w:pPr>
              <w:spacing w:after="0" w:line="169" w:lineRule="exact"/>
              <w:rPr>
                <w:rFonts w:ascii="Arial" w:cs="Arial" w:eastAsia="Arial" w:hAnsi="Arial"/>
                <w:sz w:val="16"/>
                <w:szCs w:val="16"/>
                <w:color w:val="0000EE"/>
              </w:rPr>
            </w:pPr>
            <w:hyperlink r:id="rId302">
              <w:r>
                <w:rPr>
                  <w:rFonts w:ascii="Arial" w:cs="Arial" w:eastAsia="Arial" w:hAnsi="Arial"/>
                  <w:sz w:val="16"/>
                  <w:szCs w:val="16"/>
                  <w:color w:val="0000EE"/>
                </w:rPr>
                <w:t>May 26, 2021 (incorporated by reference to Exhibit 10.35 to the Company’s Registration Statement on</w:t>
              </w:r>
            </w:hyperlink>
          </w:p>
        </w:tc>
        <w:tc>
          <w:tcPr>
            <w:tcW w:w="8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408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302">
              <w:r>
                <w:rPr>
                  <w:rFonts w:ascii="Arial" w:cs="Arial" w:eastAsia="Arial" w:hAnsi="Arial"/>
                  <w:sz w:val="16"/>
                  <w:szCs w:val="16"/>
                  <w:color w:val="0000EE"/>
                </w:rPr>
                <w:t>Form S-1/A (File No. 333-256648), dated June 14, 2021)</w:t>
              </w:r>
            </w:hyperlink>
          </w:p>
        </w:tc>
        <w:tc>
          <w:tcPr>
            <w:tcW w:w="3240" w:type="dxa"/>
            <w:vAlign w:val="bottom"/>
            <w:tcBorders>
              <w:top w:val="single" w:sz="8" w:color="0000EE"/>
            </w:tcBorders>
            <w:gridSpan w:val="26"/>
          </w:tcPr>
          <w:p>
            <w:pPr>
              <w:spacing w:after="0"/>
              <w:rPr>
                <w:sz w:val="14"/>
                <w:szCs w:val="14"/>
                <w:color w:val="auto"/>
              </w:rPr>
            </w:pPr>
          </w:p>
        </w:tc>
        <w:tc>
          <w:tcPr>
            <w:tcW w:w="100" w:type="dxa"/>
            <w:vAlign w:val="bottom"/>
            <w:gridSpan w:val="4"/>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10.39</w:t>
            </w:r>
          </w:p>
        </w:tc>
        <w:tc>
          <w:tcPr>
            <w:tcW w:w="7520" w:type="dxa"/>
            <w:vAlign w:val="bottom"/>
            <w:gridSpan w:val="37"/>
          </w:tcPr>
          <w:p>
            <w:pPr>
              <w:spacing w:after="0"/>
              <w:rPr>
                <w:rFonts w:ascii="Arial" w:cs="Arial" w:eastAsia="Arial" w:hAnsi="Arial"/>
                <w:sz w:val="16"/>
                <w:szCs w:val="16"/>
                <w:color w:val="0000EE"/>
              </w:rPr>
            </w:pPr>
            <w:hyperlink r:id="rId303">
              <w:r>
                <w:rPr>
                  <w:rFonts w:ascii="Arial" w:cs="Arial" w:eastAsia="Arial" w:hAnsi="Arial"/>
                  <w:sz w:val="16"/>
                  <w:szCs w:val="16"/>
                  <w:color w:val="0000EE"/>
                </w:rPr>
                <w:t>Sales Agreement, dated as of July 1, 2022, by and between Century Therapeutics, Inc. and Cowen and</w:t>
              </w:r>
            </w:hyperlink>
          </w:p>
        </w:tc>
      </w:tr>
      <w:tr>
        <w:trPr>
          <w:trHeight w:val="169"/>
        </w:trPr>
        <w:tc>
          <w:tcPr>
            <w:tcW w:w="1140" w:type="dxa"/>
            <w:vAlign w:val="bottom"/>
          </w:tcPr>
          <w:p>
            <w:pPr>
              <w:spacing w:after="0"/>
              <w:rPr>
                <w:sz w:val="14"/>
                <w:szCs w:val="14"/>
                <w:color w:val="auto"/>
              </w:rPr>
            </w:pPr>
          </w:p>
        </w:tc>
        <w:tc>
          <w:tcPr>
            <w:tcW w:w="7420" w:type="dxa"/>
            <w:vAlign w:val="bottom"/>
            <w:tcBorders>
              <w:top w:val="single" w:sz="8" w:color="0000EE"/>
            </w:tcBorders>
            <w:gridSpan w:val="35"/>
          </w:tcPr>
          <w:p>
            <w:pPr>
              <w:spacing w:after="0" w:line="169" w:lineRule="exact"/>
              <w:rPr>
                <w:rFonts w:ascii="Arial" w:cs="Arial" w:eastAsia="Arial" w:hAnsi="Arial"/>
                <w:sz w:val="16"/>
                <w:szCs w:val="16"/>
                <w:color w:val="0000EE"/>
              </w:rPr>
            </w:pPr>
            <w:hyperlink r:id="rId303">
              <w:r>
                <w:rPr>
                  <w:rFonts w:ascii="Arial" w:cs="Arial" w:eastAsia="Arial" w:hAnsi="Arial"/>
                  <w:sz w:val="16"/>
                  <w:szCs w:val="16"/>
                  <w:color w:val="0000EE"/>
                </w:rPr>
                <w:t>Company, LLC (incorporated by reference to Exhibit 1.2 to the Company’s Registration Statement on</w:t>
              </w:r>
            </w:hyperlink>
          </w:p>
        </w:tc>
        <w:tc>
          <w:tcPr>
            <w:tcW w:w="100" w:type="dxa"/>
            <w:vAlign w:val="bottom"/>
            <w:gridSpan w:val="2"/>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386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r:id="rId303">
              <w:r>
                <w:rPr>
                  <w:rFonts w:ascii="Arial" w:cs="Arial" w:eastAsia="Arial" w:hAnsi="Arial"/>
                  <w:sz w:val="16"/>
                  <w:szCs w:val="16"/>
                  <w:color w:val="0000EE"/>
                </w:rPr>
                <w:t>Form S-3 (File No. 333-265975), dated July 13, 2022)</w:t>
              </w:r>
            </w:hyperlink>
          </w:p>
        </w:tc>
        <w:tc>
          <w:tcPr>
            <w:tcW w:w="3360" w:type="dxa"/>
            <w:vAlign w:val="bottom"/>
            <w:tcBorders>
              <w:top w:val="single" w:sz="8" w:color="0000EE"/>
            </w:tcBorders>
            <w:gridSpan w:val="24"/>
          </w:tcPr>
          <w:p>
            <w:pPr>
              <w:spacing w:after="0"/>
              <w:rPr>
                <w:sz w:val="14"/>
                <w:szCs w:val="14"/>
                <w:color w:val="auto"/>
              </w:rPr>
            </w:pPr>
          </w:p>
        </w:tc>
        <w:tc>
          <w:tcPr>
            <w:tcW w:w="40" w:type="dxa"/>
            <w:vAlign w:val="bottom"/>
            <w:gridSpan w:val="2"/>
          </w:tcPr>
          <w:p>
            <w:pPr>
              <w:spacing w:after="0"/>
              <w:rPr>
                <w:sz w:val="14"/>
                <w:szCs w:val="14"/>
                <w:color w:val="auto"/>
              </w:rPr>
            </w:pPr>
          </w:p>
        </w:tc>
        <w:tc>
          <w:tcPr>
            <w:tcW w:w="260" w:type="dxa"/>
            <w:vAlign w:val="bottom"/>
            <w:gridSpan w:val="8"/>
          </w:tcPr>
          <w:p>
            <w:pPr>
              <w:spacing w:after="0"/>
              <w:rPr>
                <w:sz w:val="14"/>
                <w:szCs w:val="14"/>
                <w:color w:val="auto"/>
              </w:rPr>
            </w:pP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21.1</w:t>
            </w:r>
          </w:p>
        </w:tc>
        <w:tc>
          <w:tcPr>
            <w:tcW w:w="7520" w:type="dxa"/>
            <w:vAlign w:val="bottom"/>
            <w:tcBorders>
              <w:bottom w:val="single" w:sz="8" w:color="0000EE"/>
            </w:tcBorders>
            <w:gridSpan w:val="37"/>
          </w:tcPr>
          <w:p>
            <w:pPr>
              <w:spacing w:after="0"/>
              <w:rPr>
                <w:rFonts w:ascii="Arial" w:cs="Arial" w:eastAsia="Arial" w:hAnsi="Arial"/>
                <w:sz w:val="16"/>
                <w:szCs w:val="16"/>
                <w:color w:val="0000EE"/>
              </w:rPr>
            </w:pPr>
            <w:hyperlink r:id="rId304">
              <w:r>
                <w:rPr>
                  <w:rFonts w:ascii="Arial" w:cs="Arial" w:eastAsia="Arial" w:hAnsi="Arial"/>
                  <w:sz w:val="16"/>
                  <w:szCs w:val="16"/>
                  <w:color w:val="0000EE"/>
                </w:rPr>
                <w:t>Subsidiaries of the Registrant (incorporated by reference to Exhibit 1.12 to the Company’s Annual Report</w:t>
              </w:r>
            </w:hyperlink>
          </w:p>
        </w:tc>
      </w:tr>
      <w:tr>
        <w:trPr>
          <w:trHeight w:val="169"/>
        </w:trPr>
        <w:tc>
          <w:tcPr>
            <w:tcW w:w="1140" w:type="dxa"/>
            <w:vAlign w:val="bottom"/>
          </w:tcPr>
          <w:p>
            <w:pPr>
              <w:spacing w:after="0"/>
              <w:rPr>
                <w:sz w:val="14"/>
                <w:szCs w:val="14"/>
                <w:color w:val="auto"/>
              </w:rPr>
            </w:pPr>
          </w:p>
        </w:tc>
        <w:tc>
          <w:tcPr>
            <w:tcW w:w="4280" w:type="dxa"/>
            <w:vAlign w:val="bottom"/>
            <w:tcBorders>
              <w:bottom w:val="single" w:sz="8" w:color="0000EE"/>
            </w:tcBorders>
            <w:gridSpan w:val="8"/>
          </w:tcPr>
          <w:p>
            <w:pPr>
              <w:spacing w:after="0" w:line="169" w:lineRule="exact"/>
              <w:rPr>
                <w:rFonts w:ascii="Arial" w:cs="Arial" w:eastAsia="Arial" w:hAnsi="Arial"/>
                <w:sz w:val="16"/>
                <w:szCs w:val="16"/>
                <w:color w:val="0000EE"/>
              </w:rPr>
            </w:pPr>
            <w:hyperlink r:id="rId304">
              <w:r>
                <w:rPr>
                  <w:rFonts w:ascii="Arial" w:cs="Arial" w:eastAsia="Arial" w:hAnsi="Arial"/>
                  <w:sz w:val="16"/>
                  <w:szCs w:val="16"/>
                  <w:color w:val="0000EE"/>
                </w:rPr>
                <w:t>on Form 10-K (File No. 001-40498), dated March 17, 2022)</w:t>
              </w:r>
            </w:hyperlink>
          </w:p>
        </w:tc>
        <w:tc>
          <w:tcPr>
            <w:tcW w:w="3240" w:type="dxa"/>
            <w:vAlign w:val="bottom"/>
            <w:gridSpan w:val="29"/>
          </w:tcPr>
          <w:p>
            <w:pPr>
              <w:spacing w:after="0"/>
              <w:rPr>
                <w:sz w:val="14"/>
                <w:szCs w:val="14"/>
                <w:color w:val="auto"/>
              </w:rPr>
            </w:pP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23.1</w:t>
            </w:r>
          </w:p>
        </w:tc>
        <w:tc>
          <w:tcPr>
            <w:tcW w:w="592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00EE"/>
              </w:rPr>
              <w:t>Consent of Ernst &amp; Young LLP, an Independent Registered Public Accounting Firm</w:t>
            </w:r>
          </w:p>
        </w:tc>
        <w:tc>
          <w:tcPr>
            <w:tcW w:w="1600" w:type="dxa"/>
            <w:vAlign w:val="bottom"/>
            <w:gridSpan w:val="23"/>
          </w:tcPr>
          <w:p>
            <w:pPr>
              <w:spacing w:after="0"/>
              <w:rPr>
                <w:sz w:val="20"/>
                <w:szCs w:val="20"/>
                <w:color w:val="auto"/>
              </w:rPr>
            </w:pPr>
          </w:p>
        </w:tc>
      </w:tr>
      <w:tr>
        <w:trPr>
          <w:trHeight w:val="236"/>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31.1</w:t>
            </w:r>
          </w:p>
        </w:tc>
        <w:tc>
          <w:tcPr>
            <w:tcW w:w="7520" w:type="dxa"/>
            <w:vAlign w:val="bottom"/>
            <w:gridSpan w:val="37"/>
          </w:tcPr>
          <w:p>
            <w:pPr>
              <w:spacing w:after="0"/>
              <w:rPr>
                <w:sz w:val="20"/>
                <w:szCs w:val="20"/>
                <w:color w:val="auto"/>
              </w:rPr>
            </w:pPr>
            <w:r>
              <w:rPr>
                <w:rFonts w:ascii="Arial" w:cs="Arial" w:eastAsia="Arial" w:hAnsi="Arial"/>
                <w:sz w:val="16"/>
                <w:szCs w:val="16"/>
                <w:color w:val="0000EE"/>
              </w:rPr>
              <w:t>Rule 13a-14(a)/15d-14(a) certification of Principal Executive Officer</w:t>
            </w: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31.2</w:t>
            </w:r>
          </w:p>
        </w:tc>
        <w:tc>
          <w:tcPr>
            <w:tcW w:w="476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6"/>
                <w:szCs w:val="16"/>
                <w:color w:val="0000EE"/>
              </w:rPr>
              <w:t>Rule 13a-14(a)/15d-14(a) certification of Principal Financial Officer</w:t>
            </w:r>
          </w:p>
        </w:tc>
        <w:tc>
          <w:tcPr>
            <w:tcW w:w="40" w:type="dxa"/>
            <w:vAlign w:val="bottom"/>
            <w:tcBorders>
              <w:top w:val="single" w:sz="8" w:color="0000EE"/>
            </w:tcBorders>
          </w:tcPr>
          <w:p>
            <w:pPr>
              <w:spacing w:after="0"/>
              <w:rPr>
                <w:sz w:val="20"/>
                <w:szCs w:val="20"/>
                <w:color w:val="auto"/>
              </w:rPr>
            </w:pPr>
          </w:p>
        </w:tc>
        <w:tc>
          <w:tcPr>
            <w:tcW w:w="2720" w:type="dxa"/>
            <w:vAlign w:val="bottom"/>
            <w:gridSpan w:val="27"/>
          </w:tcPr>
          <w:p>
            <w:pPr>
              <w:spacing w:after="0"/>
              <w:rPr>
                <w:sz w:val="20"/>
                <w:szCs w:val="20"/>
                <w:color w:val="auto"/>
              </w:rPr>
            </w:pPr>
          </w:p>
        </w:tc>
      </w:tr>
      <w:tr>
        <w:trPr>
          <w:trHeight w:val="236"/>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32.1</w:t>
            </w:r>
          </w:p>
        </w:tc>
        <w:tc>
          <w:tcPr>
            <w:tcW w:w="7520" w:type="dxa"/>
            <w:vAlign w:val="bottom"/>
            <w:gridSpan w:val="37"/>
          </w:tcPr>
          <w:p>
            <w:pPr>
              <w:spacing w:after="0"/>
              <w:rPr>
                <w:sz w:val="20"/>
                <w:szCs w:val="20"/>
                <w:color w:val="auto"/>
              </w:rPr>
            </w:pPr>
            <w:r>
              <w:rPr>
                <w:rFonts w:ascii="Arial" w:cs="Arial" w:eastAsia="Arial" w:hAnsi="Arial"/>
                <w:sz w:val="16"/>
                <w:szCs w:val="16"/>
                <w:color w:val="0000EE"/>
              </w:rPr>
              <w:t>Certification of Chief Executive Officer pursuant to 18 U.S.C. Section 1350 certification, as adopted</w:t>
            </w:r>
          </w:p>
        </w:tc>
      </w:tr>
      <w:tr>
        <w:trPr>
          <w:trHeight w:val="169"/>
        </w:trPr>
        <w:tc>
          <w:tcPr>
            <w:tcW w:w="1140" w:type="dxa"/>
            <w:vAlign w:val="bottom"/>
          </w:tcPr>
          <w:p>
            <w:pPr>
              <w:spacing w:after="0"/>
              <w:rPr>
                <w:sz w:val="14"/>
                <w:szCs w:val="14"/>
                <w:color w:val="auto"/>
              </w:rPr>
            </w:pPr>
          </w:p>
        </w:tc>
        <w:tc>
          <w:tcPr>
            <w:tcW w:w="4260" w:type="dxa"/>
            <w:vAlign w:val="bottom"/>
            <w:tcBorders>
              <w:top w:val="single" w:sz="8" w:color="0000EE"/>
              <w:bottom w:val="single" w:sz="8" w:color="0000EE"/>
            </w:tcBorders>
            <w:gridSpan w:val="7"/>
          </w:tcPr>
          <w:p>
            <w:pPr>
              <w:spacing w:after="0" w:line="169" w:lineRule="exact"/>
              <w:rPr>
                <w:sz w:val="20"/>
                <w:szCs w:val="20"/>
                <w:color w:val="auto"/>
              </w:rPr>
            </w:pPr>
            <w:r>
              <w:rPr>
                <w:rFonts w:ascii="Arial" w:cs="Arial" w:eastAsia="Arial" w:hAnsi="Arial"/>
                <w:sz w:val="16"/>
                <w:szCs w:val="16"/>
                <w:color w:val="0000EE"/>
              </w:rPr>
              <w:t>pursuant to Section 906 of the Sarbanes-Oxley Act of 2002</w:t>
            </w:r>
          </w:p>
        </w:tc>
        <w:tc>
          <w:tcPr>
            <w:tcW w:w="2820" w:type="dxa"/>
            <w:vAlign w:val="bottom"/>
            <w:tcBorders>
              <w:top w:val="single" w:sz="8" w:color="0000EE"/>
            </w:tcBorders>
            <w:gridSpan w:val="15"/>
          </w:tcPr>
          <w:p>
            <w:pPr>
              <w:spacing w:after="0"/>
              <w:rPr>
                <w:sz w:val="14"/>
                <w:szCs w:val="14"/>
                <w:color w:val="auto"/>
              </w:rPr>
            </w:pPr>
          </w:p>
        </w:tc>
        <w:tc>
          <w:tcPr>
            <w:tcW w:w="180" w:type="dxa"/>
            <w:vAlign w:val="bottom"/>
            <w:gridSpan w:val="7"/>
          </w:tcPr>
          <w:p>
            <w:pPr>
              <w:spacing w:after="0"/>
              <w:rPr>
                <w:sz w:val="14"/>
                <w:szCs w:val="14"/>
                <w:color w:val="auto"/>
              </w:rPr>
            </w:pPr>
          </w:p>
        </w:tc>
        <w:tc>
          <w:tcPr>
            <w:tcW w:w="260" w:type="dxa"/>
            <w:vAlign w:val="bottom"/>
            <w:gridSpan w:val="8"/>
          </w:tcPr>
          <w:p>
            <w:pPr>
              <w:spacing w:after="0"/>
              <w:rPr>
                <w:sz w:val="14"/>
                <w:szCs w:val="14"/>
                <w:color w:val="auto"/>
              </w:rPr>
            </w:pPr>
          </w:p>
        </w:tc>
      </w:tr>
      <w:tr>
        <w:trPr>
          <w:trHeight w:val="236"/>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32.2</w:t>
            </w:r>
          </w:p>
        </w:tc>
        <w:tc>
          <w:tcPr>
            <w:tcW w:w="7520" w:type="dxa"/>
            <w:vAlign w:val="bottom"/>
            <w:gridSpan w:val="37"/>
          </w:tcPr>
          <w:p>
            <w:pPr>
              <w:spacing w:after="0"/>
              <w:rPr>
                <w:sz w:val="20"/>
                <w:szCs w:val="20"/>
                <w:color w:val="auto"/>
              </w:rPr>
            </w:pPr>
            <w:r>
              <w:rPr>
                <w:rFonts w:ascii="Arial" w:cs="Arial" w:eastAsia="Arial" w:hAnsi="Arial"/>
                <w:sz w:val="16"/>
                <w:szCs w:val="16"/>
                <w:color w:val="0000EE"/>
              </w:rPr>
              <w:t>Certification of Principal Financial Officer pursuant to 18 U.S.C. Section 1350 certification, as adopted</w:t>
            </w:r>
          </w:p>
        </w:tc>
      </w:tr>
      <w:tr>
        <w:trPr>
          <w:trHeight w:val="169"/>
        </w:trPr>
        <w:tc>
          <w:tcPr>
            <w:tcW w:w="1140" w:type="dxa"/>
            <w:vAlign w:val="bottom"/>
          </w:tcPr>
          <w:p>
            <w:pPr>
              <w:spacing w:after="0"/>
              <w:rPr>
                <w:sz w:val="14"/>
                <w:szCs w:val="14"/>
                <w:color w:val="auto"/>
              </w:rPr>
            </w:pPr>
          </w:p>
        </w:tc>
        <w:tc>
          <w:tcPr>
            <w:tcW w:w="4240" w:type="dxa"/>
            <w:vAlign w:val="bottom"/>
            <w:tcBorders>
              <w:top w:val="single" w:sz="8" w:color="0000EE"/>
              <w:bottom w:val="single" w:sz="8" w:color="0000EE"/>
            </w:tcBorders>
            <w:gridSpan w:val="6"/>
          </w:tcPr>
          <w:p>
            <w:pPr>
              <w:spacing w:after="0" w:line="169" w:lineRule="exact"/>
              <w:rPr>
                <w:sz w:val="20"/>
                <w:szCs w:val="20"/>
                <w:color w:val="auto"/>
              </w:rPr>
            </w:pPr>
            <w:r>
              <w:rPr>
                <w:rFonts w:ascii="Arial" w:cs="Arial" w:eastAsia="Arial" w:hAnsi="Arial"/>
                <w:sz w:val="16"/>
                <w:szCs w:val="16"/>
                <w:color w:val="0000EE"/>
              </w:rPr>
              <w:t>pursuant to Section 906 of the Sarbanes-Oxley Act of 2002</w:t>
            </w:r>
          </w:p>
        </w:tc>
        <w:tc>
          <w:tcPr>
            <w:tcW w:w="3020" w:type="dxa"/>
            <w:vAlign w:val="bottom"/>
            <w:tcBorders>
              <w:top w:val="single" w:sz="8" w:color="0000EE"/>
            </w:tcBorders>
            <w:gridSpan w:val="23"/>
          </w:tcPr>
          <w:p>
            <w:pPr>
              <w:spacing w:after="0"/>
              <w:rPr>
                <w:sz w:val="14"/>
                <w:szCs w:val="14"/>
                <w:color w:val="auto"/>
              </w:rPr>
            </w:pPr>
          </w:p>
        </w:tc>
        <w:tc>
          <w:tcPr>
            <w:tcW w:w="260" w:type="dxa"/>
            <w:vAlign w:val="bottom"/>
            <w:gridSpan w:val="8"/>
          </w:tcPr>
          <w:p>
            <w:pPr>
              <w:spacing w:after="0"/>
              <w:rPr>
                <w:sz w:val="14"/>
                <w:szCs w:val="14"/>
                <w:color w:val="auto"/>
              </w:rPr>
            </w:pPr>
          </w:p>
        </w:tc>
      </w:tr>
      <w:tr>
        <w:trPr>
          <w:trHeight w:val="275"/>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101 INS</w:t>
            </w:r>
          </w:p>
        </w:tc>
        <w:tc>
          <w:tcPr>
            <w:tcW w:w="7520" w:type="dxa"/>
            <w:vAlign w:val="bottom"/>
            <w:gridSpan w:val="37"/>
          </w:tcPr>
          <w:p>
            <w:pPr>
              <w:spacing w:after="0"/>
              <w:rPr>
                <w:sz w:val="20"/>
                <w:szCs w:val="20"/>
                <w:color w:val="auto"/>
              </w:rPr>
            </w:pPr>
            <w:r>
              <w:rPr>
                <w:rFonts w:ascii="Arial" w:cs="Arial" w:eastAsia="Arial" w:hAnsi="Arial"/>
                <w:sz w:val="16"/>
                <w:szCs w:val="16"/>
                <w:color w:val="auto"/>
              </w:rPr>
              <w:t>Inline XBRL Instance Document</w:t>
            </w:r>
          </w:p>
        </w:tc>
      </w:tr>
      <w:tr>
        <w:trPr>
          <w:trHeight w:val="256"/>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101 SCH</w:t>
            </w:r>
          </w:p>
        </w:tc>
        <w:tc>
          <w:tcPr>
            <w:tcW w:w="7520" w:type="dxa"/>
            <w:vAlign w:val="bottom"/>
            <w:gridSpan w:val="37"/>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56"/>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9"/>
              </w:rPr>
              <w:t>101 CAL</w:t>
            </w:r>
          </w:p>
        </w:tc>
        <w:tc>
          <w:tcPr>
            <w:tcW w:w="7520" w:type="dxa"/>
            <w:vAlign w:val="bottom"/>
            <w:gridSpan w:val="37"/>
          </w:tcPr>
          <w:p>
            <w:pPr>
              <w:spacing w:after="0"/>
              <w:rPr>
                <w:sz w:val="20"/>
                <w:szCs w:val="20"/>
                <w:color w:val="auto"/>
              </w:rPr>
            </w:pPr>
            <w:r>
              <w:rPr>
                <w:rFonts w:ascii="Arial" w:cs="Arial" w:eastAsia="Arial" w:hAnsi="Arial"/>
                <w:sz w:val="16"/>
                <w:szCs w:val="16"/>
                <w:color w:val="auto"/>
              </w:rPr>
              <w:t>Inline XBRL Taxonomy Extension Calculation Linkbase Document</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9" w:name="page200"/>
    <w:bookmarkEnd w:id="1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900" w:type="dxa"/>
            <w:vAlign w:val="bottom"/>
          </w:tcPr>
          <w:p>
            <w:pPr>
              <w:spacing w:after="0"/>
              <w:rPr>
                <w:sz w:val="20"/>
                <w:szCs w:val="20"/>
                <w:color w:val="auto"/>
              </w:rPr>
            </w:pPr>
            <w:r>
              <w:rPr>
                <w:rFonts w:ascii="Arial" w:cs="Arial" w:eastAsia="Arial" w:hAnsi="Arial"/>
                <w:sz w:val="16"/>
                <w:szCs w:val="16"/>
                <w:color w:val="auto"/>
              </w:rPr>
              <w:t>101 DEF</w:t>
            </w:r>
          </w:p>
        </w:tc>
        <w:tc>
          <w:tcPr>
            <w:tcW w:w="5060" w:type="dxa"/>
            <w:vAlign w:val="bottom"/>
          </w:tcPr>
          <w:p>
            <w:pPr>
              <w:ind w:left="24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57"/>
        </w:trPr>
        <w:tc>
          <w:tcPr>
            <w:tcW w:w="900" w:type="dxa"/>
            <w:vAlign w:val="bottom"/>
          </w:tcPr>
          <w:p>
            <w:pPr>
              <w:ind w:left="20"/>
              <w:spacing w:after="0"/>
              <w:rPr>
                <w:sz w:val="20"/>
                <w:szCs w:val="20"/>
                <w:color w:val="auto"/>
              </w:rPr>
            </w:pPr>
            <w:r>
              <w:rPr>
                <w:rFonts w:ascii="Arial" w:cs="Arial" w:eastAsia="Arial" w:hAnsi="Arial"/>
                <w:sz w:val="16"/>
                <w:szCs w:val="16"/>
                <w:color w:val="auto"/>
              </w:rPr>
              <w:t>101 LAB</w:t>
            </w:r>
          </w:p>
        </w:tc>
        <w:tc>
          <w:tcPr>
            <w:tcW w:w="5060" w:type="dxa"/>
            <w:vAlign w:val="bottom"/>
          </w:tcPr>
          <w:p>
            <w:pPr>
              <w:ind w:left="24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57"/>
        </w:trPr>
        <w:tc>
          <w:tcPr>
            <w:tcW w:w="900" w:type="dxa"/>
            <w:vAlign w:val="bottom"/>
          </w:tcPr>
          <w:p>
            <w:pPr>
              <w:spacing w:after="0"/>
              <w:rPr>
                <w:sz w:val="20"/>
                <w:szCs w:val="20"/>
                <w:color w:val="auto"/>
              </w:rPr>
            </w:pPr>
            <w:r>
              <w:rPr>
                <w:rFonts w:ascii="Arial" w:cs="Arial" w:eastAsia="Arial" w:hAnsi="Arial"/>
                <w:sz w:val="16"/>
                <w:szCs w:val="16"/>
                <w:color w:val="auto"/>
              </w:rPr>
              <w:t>101 PRE</w:t>
            </w:r>
          </w:p>
        </w:tc>
        <w:tc>
          <w:tcPr>
            <w:tcW w:w="5060" w:type="dxa"/>
            <w:vAlign w:val="bottom"/>
          </w:tcPr>
          <w:p>
            <w:pPr>
              <w:ind w:left="24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42" w:lineRule="exact"/>
        <w:rPr>
          <w:sz w:val="20"/>
          <w:szCs w:val="20"/>
          <w:color w:val="auto"/>
        </w:rPr>
      </w:pPr>
    </w:p>
    <w:p>
      <w:pPr>
        <w:ind w:left="1400" w:hanging="946"/>
        <w:spacing w:after="0"/>
        <w:tabs>
          <w:tab w:leader="none" w:pos="14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88" w:lineRule="exact"/>
        <w:rPr>
          <w:rFonts w:ascii="Arial" w:cs="Arial" w:eastAsia="Arial" w:hAnsi="Arial"/>
          <w:sz w:val="16"/>
          <w:szCs w:val="16"/>
          <w:color w:val="auto"/>
        </w:rPr>
      </w:pPr>
    </w:p>
    <w:p>
      <w:pPr>
        <w:ind w:left="380" w:hanging="330"/>
        <w:spacing w:after="0"/>
        <w:tabs>
          <w:tab w:leader="none" w:pos="380" w:val="left"/>
        </w:tabs>
        <w:numPr>
          <w:ilvl w:val="0"/>
          <w:numId w:val="72"/>
        </w:numPr>
        <w:rPr>
          <w:rFonts w:ascii="Times New Roman" w:cs="Times New Roman" w:eastAsia="Times New Roman" w:hAnsi="Times New Roman"/>
          <w:sz w:val="16"/>
          <w:szCs w:val="16"/>
          <w:color w:val="231F20"/>
        </w:rPr>
      </w:pPr>
      <w:r>
        <w:rPr>
          <w:rFonts w:ascii="Arial" w:cs="Arial" w:eastAsia="Arial" w:hAnsi="Arial"/>
          <w:sz w:val="16"/>
          <w:szCs w:val="16"/>
          <w:color w:val="231F20"/>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-176530</wp:posOffset>
            </wp:positionV>
            <wp:extent cx="141414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9" w:lineRule="exact"/>
        <w:rPr>
          <w:sz w:val="20"/>
          <w:szCs w:val="20"/>
          <w:color w:val="auto"/>
        </w:rPr>
      </w:pPr>
    </w:p>
    <w:p>
      <w:pPr>
        <w:ind w:left="60" w:right="119" w:hanging="10"/>
        <w:spacing w:after="0" w:line="271" w:lineRule="auto"/>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identified information in the exhibit has been omitted because it is the type of information that (i) the Company customarily and actually treats as private and confidential, and (ii) is not material.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0" w:name="page201"/>
    <w:bookmarkEnd w:id="2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CENTURY THERAPEUTICS, INC.</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26149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8">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Osvaldo Flores, Ph.D.</w:t>
      </w:r>
    </w:p>
    <w:p>
      <w:pPr>
        <w:ind w:left="48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80"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3" w:right="1440" w:bottom="1440" w:gutter="0" w:footer="0" w:header="0"/>
        </w:sectPr>
      </w:pPr>
    </w:p>
    <w:p>
      <w:pPr>
        <w:spacing w:after="0" w:line="140"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Osvaldo Flores, Ph.D.</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18688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8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Michael Diem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Michael Diem</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 Douglas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Douglas Carr</w:t>
      </w:r>
    </w:p>
    <w:p>
      <w:pPr>
        <w:ind w:left="420"/>
        <w:spacing w:after="0"/>
        <w:rPr>
          <w:sz w:val="20"/>
          <w:szCs w:val="20"/>
          <w:color w:val="auto"/>
        </w:rPr>
      </w:pPr>
      <w:r>
        <w:rPr>
          <w:rFonts w:ascii="Arial" w:cs="Arial" w:eastAsia="Arial" w:hAnsi="Arial"/>
          <w:sz w:val="17"/>
          <w:szCs w:val="17"/>
          <w:color w:val="auto"/>
        </w:rPr>
        <w:t>/s/ Kimberly Blackwell,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5080</wp:posOffset>
            </wp:positionV>
            <wp:extent cx="18688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Kimberly Blackwell, M.D.</w:t>
      </w:r>
    </w:p>
    <w:p>
      <w:pPr>
        <w:ind w:left="820"/>
        <w:spacing w:after="0"/>
        <w:rPr>
          <w:sz w:val="20"/>
          <w:szCs w:val="20"/>
          <w:color w:val="auto"/>
        </w:rPr>
      </w:pPr>
      <w:r>
        <w:rPr>
          <w:rFonts w:ascii="Arial" w:cs="Arial" w:eastAsia="Arial" w:hAnsi="Arial"/>
          <w:sz w:val="18"/>
          <w:szCs w:val="18"/>
          <w:color w:val="auto"/>
        </w:rPr>
        <w:t>/s/ Cynthia Butitta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186880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4">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Cynthia Butitta</w:t>
      </w:r>
    </w:p>
    <w:p>
      <w:pPr>
        <w:ind w:left="76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18688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Joseph Jimenez</w:t>
      </w:r>
    </w:p>
    <w:p>
      <w:pPr>
        <w:jc w:val="center"/>
        <w:ind w:left="420"/>
        <w:spacing w:after="0"/>
        <w:rPr>
          <w:sz w:val="20"/>
          <w:szCs w:val="20"/>
          <w:color w:val="auto"/>
        </w:rPr>
      </w:pPr>
      <w:r>
        <w:rPr>
          <w:rFonts w:ascii="Arial" w:cs="Arial" w:eastAsia="Arial" w:hAnsi="Arial"/>
          <w:sz w:val="18"/>
          <w:szCs w:val="18"/>
          <w:color w:val="auto"/>
        </w:rPr>
        <w:t>/s/ Alessandro Riva,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186880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Alessandro Riva, M.D.</w:t>
      </w:r>
    </w:p>
    <w:p>
      <w:pPr>
        <w:ind w:left="600"/>
        <w:spacing w:after="0"/>
        <w:rPr>
          <w:sz w:val="20"/>
          <w:szCs w:val="20"/>
          <w:color w:val="auto"/>
        </w:rPr>
      </w:pPr>
      <w:r>
        <w:rPr>
          <w:rFonts w:ascii="Arial" w:cs="Arial" w:eastAsia="Arial" w:hAnsi="Arial"/>
          <w:sz w:val="18"/>
          <w:szCs w:val="18"/>
          <w:color w:val="auto"/>
        </w:rPr>
        <w:t>/s/ Carlo Rizzuto,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186880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7">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Carlo Rizzuto, Ph.D.</w:t>
      </w:r>
    </w:p>
    <w:p>
      <w:pPr>
        <w:ind w:left="760"/>
        <w:spacing w:after="0"/>
        <w:rPr>
          <w:sz w:val="20"/>
          <w:szCs w:val="20"/>
          <w:color w:val="auto"/>
        </w:rPr>
      </w:pPr>
      <w:r>
        <w:rPr>
          <w:rFonts w:ascii="Arial" w:cs="Arial" w:eastAsia="Arial" w:hAnsi="Arial"/>
          <w:sz w:val="18"/>
          <w:szCs w:val="18"/>
          <w:color w:val="auto"/>
        </w:rPr>
        <w:t>/s/ Timothy Walbert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18688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Timothy Walbert</w:t>
      </w:r>
    </w:p>
    <w:p>
      <w:pPr>
        <w:ind w:left="840"/>
        <w:spacing w:after="0"/>
        <w:rPr>
          <w:sz w:val="20"/>
          <w:szCs w:val="20"/>
          <w:color w:val="auto"/>
        </w:rPr>
      </w:pPr>
      <w:r>
        <w:rPr>
          <w:rFonts w:ascii="Arial" w:cs="Arial" w:eastAsia="Arial" w:hAnsi="Arial"/>
          <w:sz w:val="18"/>
          <w:szCs w:val="18"/>
          <w:color w:val="auto"/>
        </w:rPr>
        <w:t>/s/ Daphne Quimi</w:t>
      </w:r>
    </w:p>
    <w:p>
      <w:pPr>
        <w:spacing w:after="0" w:line="19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Daphne Quimi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18688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232"/>
        </w:trPr>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9"/>
              </w:rPr>
              <w:t>President, Chief Executive Officer and</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16, 2023</w:t>
            </w:r>
          </w:p>
        </w:tc>
        <w:tc>
          <w:tcPr>
            <w:tcW w:w="0" w:type="dxa"/>
            <w:vAlign w:val="bottom"/>
          </w:tcPr>
          <w:p>
            <w:pPr>
              <w:spacing w:after="0"/>
              <w:rPr>
                <w:sz w:val="1"/>
                <w:szCs w:val="1"/>
                <w:color w:val="auto"/>
              </w:rPr>
            </w:pPr>
          </w:p>
        </w:tc>
      </w:tr>
      <w:tr>
        <w:trPr>
          <w:trHeight w:val="147"/>
        </w:trPr>
        <w:tc>
          <w:tcPr>
            <w:tcW w:w="3820" w:type="dxa"/>
            <w:vAlign w:val="bottom"/>
            <w:gridSpan w:val="2"/>
            <w:vMerge w:val="continue"/>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Director (principal executive officer)</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16, 2023</w:t>
            </w:r>
          </w:p>
        </w:tc>
        <w:tc>
          <w:tcPr>
            <w:tcW w:w="0" w:type="dxa"/>
            <w:vAlign w:val="bottom"/>
          </w:tcPr>
          <w:p>
            <w:pPr>
              <w:spacing w:after="0"/>
              <w:rPr>
                <w:sz w:val="1"/>
                <w:szCs w:val="1"/>
                <w:color w:val="auto"/>
              </w:rPr>
            </w:pPr>
          </w:p>
        </w:tc>
      </w:tr>
      <w:tr>
        <w:trPr>
          <w:trHeight w:val="585"/>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Chief Business Officer</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(principal financial officer)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rPr>
              <w:t>March 16, 2023</w:t>
            </w:r>
          </w:p>
        </w:tc>
        <w:tc>
          <w:tcPr>
            <w:tcW w:w="0" w:type="dxa"/>
            <w:vAlign w:val="bottom"/>
          </w:tcPr>
          <w:p>
            <w:pPr>
              <w:spacing w:after="0"/>
              <w:rPr>
                <w:sz w:val="1"/>
                <w:szCs w:val="1"/>
                <w:color w:val="auto"/>
              </w:rPr>
            </w:pPr>
          </w:p>
        </w:tc>
      </w:tr>
      <w:tr>
        <w:trPr>
          <w:trHeight w:val="203"/>
        </w:trPr>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9"/>
              </w:rPr>
              <w:t>Vice President Of Finance And Operations</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820" w:type="dxa"/>
            <w:vAlign w:val="bottom"/>
            <w:gridSpan w:val="2"/>
            <w:vMerge w:val="continue"/>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rPr>
              <w:t>(principal accounting officer)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rPr>
              <w:t>March 16, 2023</w:t>
            </w:r>
          </w:p>
        </w:tc>
        <w:tc>
          <w:tcPr>
            <w:tcW w:w="0" w:type="dxa"/>
            <w:vAlign w:val="bottom"/>
          </w:tcPr>
          <w:p>
            <w:pPr>
              <w:spacing w:after="0"/>
              <w:rPr>
                <w:sz w:val="1"/>
                <w:szCs w:val="1"/>
                <w:color w:val="auto"/>
              </w:rPr>
            </w:pPr>
          </w:p>
        </w:tc>
      </w:tr>
      <w:tr>
        <w:trPr>
          <w:trHeight w:val="216"/>
        </w:trPr>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20" w:type="dxa"/>
            <w:vAlign w:val="bottom"/>
            <w:gridSpan w:val="2"/>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16, 2023</w:t>
            </w:r>
          </w:p>
        </w:tc>
        <w:tc>
          <w:tcPr>
            <w:tcW w:w="0" w:type="dxa"/>
            <w:vAlign w:val="bottom"/>
          </w:tcPr>
          <w:p>
            <w:pPr>
              <w:spacing w:after="0"/>
              <w:rPr>
                <w:sz w:val="1"/>
                <w:szCs w:val="1"/>
                <w:color w:val="auto"/>
              </w:rPr>
            </w:pPr>
          </w:p>
        </w:tc>
      </w:tr>
      <w:tr>
        <w:trPr>
          <w:trHeight w:val="108"/>
        </w:trPr>
        <w:tc>
          <w:tcPr>
            <w:tcW w:w="3820" w:type="dxa"/>
            <w:vAlign w:val="bottom"/>
            <w:gridSpan w:val="2"/>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9"/>
              </w:rPr>
              <w:t>Director, Chairman of the Board</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16, 2023</w:t>
            </w:r>
          </w:p>
        </w:tc>
        <w:tc>
          <w:tcPr>
            <w:tcW w:w="0" w:type="dxa"/>
            <w:vAlign w:val="bottom"/>
          </w:tcPr>
          <w:p>
            <w:pPr>
              <w:spacing w:after="0"/>
              <w:rPr>
                <w:sz w:val="1"/>
                <w:szCs w:val="1"/>
                <w:color w:val="auto"/>
              </w:rPr>
            </w:pPr>
          </w:p>
        </w:tc>
      </w:tr>
      <w:tr>
        <w:trPr>
          <w:trHeight w:val="108"/>
        </w:trPr>
        <w:tc>
          <w:tcPr>
            <w:tcW w:w="3820" w:type="dxa"/>
            <w:vAlign w:val="bottom"/>
            <w:gridSpan w:val="2"/>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16, 2023</w:t>
            </w:r>
          </w:p>
        </w:tc>
        <w:tc>
          <w:tcPr>
            <w:tcW w:w="0" w:type="dxa"/>
            <w:vAlign w:val="bottom"/>
          </w:tcPr>
          <w:p>
            <w:pPr>
              <w:spacing w:after="0"/>
              <w:rPr>
                <w:sz w:val="1"/>
                <w:szCs w:val="1"/>
                <w:color w:val="auto"/>
              </w:rPr>
            </w:pPr>
          </w:p>
        </w:tc>
      </w:tr>
      <w:tr>
        <w:trPr>
          <w:trHeight w:val="108"/>
        </w:trPr>
        <w:tc>
          <w:tcPr>
            <w:tcW w:w="3820" w:type="dxa"/>
            <w:vAlign w:val="bottom"/>
            <w:gridSpan w:val="2"/>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16, 2023</w:t>
            </w:r>
          </w:p>
        </w:tc>
        <w:tc>
          <w:tcPr>
            <w:tcW w:w="0" w:type="dxa"/>
            <w:vAlign w:val="bottom"/>
          </w:tcPr>
          <w:p>
            <w:pPr>
              <w:spacing w:after="0"/>
              <w:rPr>
                <w:sz w:val="1"/>
                <w:szCs w:val="1"/>
                <w:color w:val="auto"/>
              </w:rPr>
            </w:pPr>
          </w:p>
        </w:tc>
      </w:tr>
      <w:tr>
        <w:trPr>
          <w:trHeight w:val="108"/>
        </w:trPr>
        <w:tc>
          <w:tcPr>
            <w:tcW w:w="3820" w:type="dxa"/>
            <w:vAlign w:val="bottom"/>
            <w:gridSpan w:val="2"/>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16, 2023</w:t>
            </w:r>
          </w:p>
        </w:tc>
        <w:tc>
          <w:tcPr>
            <w:tcW w:w="0" w:type="dxa"/>
            <w:vAlign w:val="bottom"/>
          </w:tcPr>
          <w:p>
            <w:pPr>
              <w:spacing w:after="0"/>
              <w:rPr>
                <w:sz w:val="1"/>
                <w:szCs w:val="1"/>
                <w:color w:val="auto"/>
              </w:rPr>
            </w:pPr>
          </w:p>
        </w:tc>
      </w:tr>
      <w:tr>
        <w:trPr>
          <w:trHeight w:val="419"/>
        </w:trPr>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16, 2023</w:t>
            </w:r>
          </w:p>
        </w:tc>
        <w:tc>
          <w:tcPr>
            <w:tcW w:w="0" w:type="dxa"/>
            <w:vAlign w:val="bottom"/>
          </w:tcPr>
          <w:p>
            <w:pPr>
              <w:spacing w:after="0"/>
              <w:rPr>
                <w:sz w:val="1"/>
                <w:szCs w:val="1"/>
                <w:color w:val="auto"/>
              </w:rPr>
            </w:pPr>
          </w:p>
        </w:tc>
      </w:tr>
      <w:tr>
        <w:trPr>
          <w:trHeight w:val="94"/>
        </w:trPr>
        <w:tc>
          <w:tcPr>
            <w:tcW w:w="3820" w:type="dxa"/>
            <w:vAlign w:val="bottom"/>
            <w:gridSpan w:val="2"/>
            <w:vMerge w:val="continue"/>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92" w:lineRule="exact"/>
        <w:rPr>
          <w:sz w:val="20"/>
          <w:szCs w:val="20"/>
          <w:color w:val="auto"/>
        </w:rPr>
      </w:pPr>
    </w:p>
    <w:p>
      <w:pPr>
        <w:sectPr>
          <w:pgSz w:w="11900" w:h="16838" w:orient="portrait"/>
          <w:cols w:equalWidth="0" w:num="2">
            <w:col w:w="2640" w:space="600"/>
            <w:col w:w="577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u w:val="single" w:color="auto"/>
          <w:color w:val="auto"/>
        </w:rPr>
        <w:t>Stockholders</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(any such meeting being referred to in these Bylaws as an “Annual Meeting”) shall be held at the hour, date and place within or without the United States which is fixed by the Corporation’s Board of Directors (the “Board of Directors”), which time, date and place may subsequently be changed at any time by vote of the Board of Directors; provided that the Board of Directors may in its sole discretion determine that the meeting shall not be held at any place, but may instead be held solely by means of remote communication pursuant to as authorized by Section 211(a) of the General Corporation Law of the State of Delaware (the “DGCL”) and Section 6.11 of these Bylaws.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00" w:hanging="248"/>
        <w:spacing w:after="0"/>
        <w:tabs>
          <w:tab w:leader="none" w:pos="22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3" w:lineRule="auto"/>
        <w:tabs>
          <w:tab w:leader="none" w:pos="285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Section 1.2(a)(2)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194" w:lineRule="exact"/>
        <w:rPr>
          <w:rFonts w:ascii="Times New Roman" w:cs="Times New Roman" w:eastAsia="Times New Roman" w:hAnsi="Times New Roman"/>
          <w:sz w:val="18"/>
          <w:szCs w:val="18"/>
          <w:color w:val="auto"/>
        </w:rPr>
      </w:pPr>
    </w:p>
    <w:p>
      <w:pPr>
        <w:jc w:val="both"/>
        <w:ind w:firstLine="2600"/>
        <w:spacing w:after="0" w:line="253" w:lineRule="auto"/>
        <w:tabs>
          <w:tab w:leader="none" w:pos="289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(ii) of Section 1.2(a)(1)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2" w:name="page203"/>
    <w:bookmarkEnd w:id="202"/>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day on which public announcement of the date of such meeting is first made (such notice within such time periods shall be referred to as “Timely Notice”). Such stockholder’s Timely Notice shall set forth:</w:t>
      </w:r>
    </w:p>
    <w:p>
      <w:pPr>
        <w:spacing w:after="0" w:line="162" w:lineRule="exact"/>
        <w:rPr>
          <w:sz w:val="20"/>
          <w:szCs w:val="20"/>
          <w:color w:val="auto"/>
        </w:rPr>
      </w:pPr>
    </w:p>
    <w:p>
      <w:pPr>
        <w:jc w:val="both"/>
        <w:ind w:firstLine="3240"/>
        <w:spacing w:after="0" w:line="261" w:lineRule="auto"/>
        <w:rPr>
          <w:sz w:val="20"/>
          <w:szCs w:val="20"/>
          <w:color w:val="auto"/>
        </w:rPr>
      </w:pPr>
      <w:r>
        <w:rPr>
          <w:rFonts w:ascii="Times New Roman" w:cs="Times New Roman" w:eastAsia="Times New Roman" w:hAnsi="Times New Roman"/>
          <w:sz w:val="18"/>
          <w:szCs w:val="18"/>
          <w:color w:val="auto"/>
        </w:rPr>
        <w:t>(A)           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80" w:lineRule="exact"/>
        <w:rPr>
          <w:sz w:val="20"/>
          <w:szCs w:val="20"/>
          <w:color w:val="auto"/>
        </w:rPr>
      </w:pPr>
    </w:p>
    <w:p>
      <w:pPr>
        <w:jc w:val="both"/>
        <w:ind w:firstLine="3240"/>
        <w:spacing w:after="0" w:line="258" w:lineRule="auto"/>
        <w:rPr>
          <w:sz w:val="20"/>
          <w:szCs w:val="20"/>
          <w:color w:val="auto"/>
        </w:rPr>
      </w:pPr>
      <w:r>
        <w:rPr>
          <w:rFonts w:ascii="Times New Roman" w:cs="Times New Roman" w:eastAsia="Times New Roman" w:hAnsi="Times New Roman"/>
          <w:sz w:val="18"/>
          <w:szCs w:val="18"/>
          <w:color w:val="auto"/>
        </w:rPr>
        <w:t>(B)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such business includes a proposal to amend these Bylaws, the language of the proposed amendment) the reasons for conducting such business at the meeting, and any material interest in such business of each Proposing Person (as defined below);</w:t>
      </w:r>
    </w:p>
    <w:p>
      <w:pPr>
        <w:spacing w:after="0" w:line="183" w:lineRule="exact"/>
        <w:rPr>
          <w:sz w:val="20"/>
          <w:szCs w:val="20"/>
          <w:color w:val="auto"/>
        </w:rPr>
      </w:pPr>
    </w:p>
    <w:p>
      <w:pPr>
        <w:jc w:val="both"/>
        <w:ind w:firstLine="3240"/>
        <w:spacing w:after="0" w:line="252" w:lineRule="auto"/>
        <w:rPr>
          <w:sz w:val="20"/>
          <w:szCs w:val="20"/>
          <w:color w:val="auto"/>
        </w:rPr>
      </w:pPr>
      <w:r>
        <w:rPr>
          <w:rFonts w:ascii="Times New Roman" w:cs="Times New Roman" w:eastAsia="Times New Roman" w:hAnsi="Times New Roman"/>
          <w:sz w:val="18"/>
          <w:szCs w:val="18"/>
          <w:color w:val="auto"/>
        </w:rPr>
        <w:t>(C)           (i)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w:t>
      </w:r>
    </w:p>
    <w:p>
      <w:pPr>
        <w:spacing w:after="0" w:line="5" w:lineRule="exact"/>
        <w:rPr>
          <w:sz w:val="20"/>
          <w:szCs w:val="20"/>
          <w:color w:val="auto"/>
        </w:rPr>
      </w:pPr>
    </w:p>
    <w:p>
      <w:pPr>
        <w:jc w:val="both"/>
        <w:ind w:firstLine="8"/>
        <w:spacing w:after="0" w:line="251" w:lineRule="auto"/>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91" w:lineRule="exact"/>
        <w:rPr>
          <w:sz w:val="20"/>
          <w:szCs w:val="20"/>
          <w:color w:val="auto"/>
        </w:rPr>
      </w:pPr>
    </w:p>
    <w:p>
      <w:pPr>
        <w:jc w:val="both"/>
        <w:ind w:firstLine="3240"/>
        <w:spacing w:after="0" w:line="255" w:lineRule="auto"/>
        <w:rPr>
          <w:sz w:val="20"/>
          <w:szCs w:val="20"/>
          <w:color w:val="auto"/>
        </w:rPr>
      </w:pPr>
      <w:r>
        <w:rPr>
          <w:rFonts w:ascii="Times New Roman" w:cs="Times New Roman" w:eastAsia="Times New Roman" w:hAnsi="Times New Roman"/>
          <w:sz w:val="18"/>
          <w:szCs w:val="18"/>
          <w:color w:val="auto"/>
        </w:rPr>
        <w:t>(D)           (i)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45" w:right="999" w:bottom="1440" w:gutter="0" w:footer="0" w:header="0"/>
        </w:sectPr>
      </w:pPr>
    </w:p>
    <w:bookmarkStart w:id="203" w:name="page204"/>
    <w:bookmarkEnd w:id="203"/>
    <w:p>
      <w:pPr>
        <w:jc w:val="both"/>
        <w:ind w:firstLine="3240"/>
        <w:spacing w:after="0" w:line="253" w:lineRule="auto"/>
        <w:rPr>
          <w:sz w:val="20"/>
          <w:szCs w:val="20"/>
          <w:color w:val="auto"/>
        </w:rPr>
      </w:pPr>
      <w:r>
        <w:rPr>
          <w:rFonts w:ascii="Times New Roman" w:cs="Times New Roman" w:eastAsia="Times New Roman" w:hAnsi="Times New Roman"/>
          <w:sz w:val="18"/>
          <w:szCs w:val="18"/>
          <w:color w:val="auto"/>
        </w:rPr>
        <w:t>(E)           a statement (i)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made pursuant to Article I, Section 1.2(b), at least 67 percent of the voting power of all of the shares of capital stock of the Corporation entitled to vote on the election of directors (such statement, the “Solicitation Statement”), or otherwise solicit proxies or votes from stockholders in support of such proposal or nomination, as applicable, and (ii) providing a representation as to whether or not such Proposing Person or Nominating Person (as defined below) intends to solicit proxies in support of director nominees other than the Corporation’s director nominees in accordance with Rule 14a-19 promulgated under the Exchange Act. Notwithstanding the foregoing, if a Proposing Person or Nominating Person no longer plans to solicit proxies in accordance with its representation pursuant to this Section 1.2(a)(2), such Proposing Person or Nominating Person shall inform the Corporation of this change by delivering a written notice to the Secretary at the principal executive offices of the Corporation no later than two (2) business days after making the determination not to proceed with a solicitation of proxies.</w:t>
      </w:r>
    </w:p>
    <w:p>
      <w:pPr>
        <w:spacing w:after="0" w:line="1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Article I of these Bylaws, the term “Nominating Person” shall mean (a) the stockholder providing the notice of the nomination proposed to be made at the meeting, (b) the beneficial owner or beneficial owners, if different, on whose behalf the notice of the nomination proposed to be made at the meeting is made, and (c) any other participant in such solicitation. For purposes of this Section 1.2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95" w:lineRule="exact"/>
        <w:rPr>
          <w:sz w:val="20"/>
          <w:szCs w:val="20"/>
          <w:color w:val="auto"/>
        </w:rPr>
      </w:pPr>
    </w:p>
    <w:p>
      <w:pPr>
        <w:jc w:val="both"/>
        <w:ind w:firstLine="2600"/>
        <w:spacing w:after="0" w:line="252" w:lineRule="auto"/>
        <w:tabs>
          <w:tab w:leader="none" w:pos="286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nominee of any stockholder for election or reelection as a director of the Corporation, a person must deliver (in accordance with the time periods prescribed for nominations of persons for election to the Board of Directors by stockholders under this Section 1.2) to the Secretary at the principal executive offices of the Corporation a written questionnaire with respect to the background and qualification of such individual and the background of any other person or entity on whose behalf, directly or indirectly, the nomination is being made (which questionnaire shall be provided by the Secretary upon written request), all information relating to such person that would be required to be disclosed in solicitations of proxies by the Corporation for election of such person as a director in an election contest, or is otherwise required, in each case pursuant to Regulation 14A under the Exchange Act, and a written representation and agreement (in the form provided by the Secretary upon written request) that such individual (a) is not and will not become a party to (1)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(2) any Voting Commitment that could limit or interfere with such individual’s ability to comply, if elected as a director of the Corporation, with such individual’s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(c) in such individual’s personal capacity and on behalf of any person or entity on whose behalf, directly or indirectly, the nomination is being made, would be in compliance, if elected as a director of the Corporation, and will comply, with all applicable corporate governance, conflict of interest, confidentiality and stock ownership and trading policies and guidelines of the Corporation publicly disclosed from time to time and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204" w:name="page205"/>
    <w:bookmarkEnd w:id="204"/>
    <w:p>
      <w:pPr>
        <w:spacing w:after="0" w:line="282" w:lineRule="auto"/>
        <w:rPr>
          <w:sz w:val="20"/>
          <w:szCs w:val="20"/>
          <w:color w:val="auto"/>
        </w:rPr>
      </w:pPr>
      <w:r>
        <w:rPr>
          <w:rFonts w:ascii="Times New Roman" w:cs="Times New Roman" w:eastAsia="Times New Roman" w:hAnsi="Times New Roman"/>
          <w:sz w:val="18"/>
          <w:szCs w:val="18"/>
          <w:color w:val="auto"/>
        </w:rPr>
        <w:t>consents to being named as a nominee in the Corporation’s proxy statement pursuant to Rule 14a-4(d) under the Exchange Act and any associated proxy card of the Corporation and agrees to serve if elected as a director.</w:t>
      </w:r>
    </w:p>
    <w:p>
      <w:pPr>
        <w:spacing w:after="0" w:line="162" w:lineRule="exact"/>
        <w:rPr>
          <w:sz w:val="20"/>
          <w:szCs w:val="20"/>
          <w:color w:val="auto"/>
        </w:rPr>
      </w:pPr>
    </w:p>
    <w:p>
      <w:pPr>
        <w:jc w:val="both"/>
        <w:ind w:firstLine="2600"/>
        <w:spacing w:after="0" w:line="254" w:lineRule="auto"/>
        <w:tabs>
          <w:tab w:leader="none" w:pos="284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and any person providing information pursuant to Section 1.2(a)(3) shall, in each case, further update and supplement such notice and information, if necessary, so that the information (including, without limitation, the Material Ownership Interests information) provided or required to be provided therein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188" w:lineRule="exact"/>
        <w:rPr>
          <w:rFonts w:ascii="Times New Roman" w:cs="Times New Roman" w:eastAsia="Times New Roman" w:hAnsi="Times New Roman"/>
          <w:sz w:val="18"/>
          <w:szCs w:val="18"/>
          <w:color w:val="auto"/>
        </w:rPr>
      </w:pPr>
    </w:p>
    <w:p>
      <w:pPr>
        <w:jc w:val="both"/>
        <w:ind w:firstLine="2600"/>
        <w:spacing w:after="0" w:line="255" w:lineRule="auto"/>
        <w:tabs>
          <w:tab w:leader="none" w:pos="289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second sentence of Section 1.2(a)(2)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Section 1.2(a)(2),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188"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3" w:lineRule="auto"/>
        <w:tabs>
          <w:tab w:leader="none" w:pos="286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191"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5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nothing in this Section 1.2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75" w:lineRule="exact"/>
        <w:rPr>
          <w:rFonts w:ascii="Times New Roman" w:cs="Times New Roman" w:eastAsia="Times New Roman" w:hAnsi="Times New Roman"/>
          <w:sz w:val="18"/>
          <w:szCs w:val="18"/>
          <w:color w:val="auto"/>
        </w:rPr>
      </w:pPr>
    </w:p>
    <w:p>
      <w:pPr>
        <w:jc w:val="both"/>
        <w:ind w:firstLine="2600"/>
        <w:spacing w:after="0" w:line="254" w:lineRule="auto"/>
        <w:tabs>
          <w:tab w:leader="none" w:pos="287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Section 1.2,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45" w:right="999" w:bottom="1440" w:gutter="0" w:footer="0" w:header="0"/>
        </w:sectPr>
      </w:pPr>
    </w:p>
    <w:bookmarkStart w:id="205" w:name="page206"/>
    <w:bookmarkEnd w:id="205"/>
    <w:p>
      <w:pPr>
        <w:jc w:val="both"/>
        <w:ind w:firstLine="2600"/>
        <w:spacing w:after="0" w:line="266" w:lineRule="auto"/>
        <w:tabs>
          <w:tab w:leader="none" w:pos="28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75" w:lineRule="exact"/>
        <w:rPr>
          <w:rFonts w:ascii="Times New Roman" w:cs="Times New Roman" w:eastAsia="Times New Roman" w:hAnsi="Times New Roman"/>
          <w:sz w:val="18"/>
          <w:szCs w:val="18"/>
          <w:color w:val="auto"/>
        </w:rPr>
      </w:pPr>
    </w:p>
    <w:p>
      <w:pPr>
        <w:jc w:val="both"/>
        <w:ind w:firstLine="2600"/>
        <w:spacing w:after="0" w:line="254" w:lineRule="auto"/>
        <w:tabs>
          <w:tab w:leader="none" w:pos="285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Bylaw, a stockholder shall also comply with all applicable requirements of the Exchange Act and the rules and regulations thereunder, including, but not limited to, Rule 14a-19 of the Exchange Act, with respect to the matters set forth in this Bylaw. Nothing in this Bylaw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(as defined in the Certificate (as defined below)) to elect directors under specified circumstances.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w:t>
      </w:r>
    </w:p>
    <w:p>
      <w:pPr>
        <w:spacing w:after="0" w:line="188"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notwithstanding the foregoing provisions of this Bylaw, unless otherwise required by law,</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Proposing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(i) the Board of Directors acting pursuant to a resolution approved by the affirmative vote of a majority of the Directors then in office, (ii) the Chairperson of the Board (as defined below) or (iii) the Chief Executive Officer of the Corporation.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Section 1.1 of these Bylaws, in which case such special meeting in lieu thereof shall be deemed an Annual Meeting for purposes of these Bylaws and the provisions of Section 1.2 of these Bylaws shall govern such special meeting.</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 of Meetings; Adjournments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(a)           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206" w:name="page207"/>
    <w:bookmarkEnd w:id="206"/>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(b)           Notice of all special meetings of stockholders shall be given in the same manner as provided for Annual Meetings, except that the notice of all special meetings shall state the purpose or purposes for which the meeting has been called.</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(c)           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80"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(d)           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1.2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83"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(e)           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presence, in person or by remote communication,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1.4.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033"/>
        <w:spacing w:after="0" w:line="254" w:lineRule="auto"/>
        <w:tabs>
          <w:tab w:leader="none" w:pos="260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 of the DGCL. Any copy, facsimile telecommunication or other reliable reproduction of the writing or transmission permitted by Section 212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207" w:name="page208"/>
    <w:bookmarkEnd w:id="207"/>
    <w:p>
      <w:pPr>
        <w:jc w:val="both"/>
        <w:spacing w:after="0" w:line="266" w:lineRule="auto"/>
        <w:rPr>
          <w:sz w:val="20"/>
          <w:szCs w:val="20"/>
          <w:color w:val="auto"/>
        </w:rPr>
      </w:pPr>
      <w:r>
        <w:rPr>
          <w:rFonts w:ascii="Times New Roman" w:cs="Times New Roman" w:eastAsia="Times New Roman" w:hAnsi="Times New Roman"/>
          <w:sz w:val="18"/>
          <w:szCs w:val="18"/>
          <w:color w:val="auto"/>
        </w:rPr>
        <w:t>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76" w:lineRule="exact"/>
        <w:rPr>
          <w:sz w:val="20"/>
          <w:szCs w:val="20"/>
          <w:color w:val="auto"/>
        </w:rPr>
      </w:pPr>
    </w:p>
    <w:p>
      <w:pPr>
        <w:ind w:firstLine="2033"/>
        <w:spacing w:after="0" w:line="282" w:lineRule="auto"/>
        <w:tabs>
          <w:tab w:leader="none" w:pos="22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directly or indirectly soliciting proxies from other stockholders must use a proxy card color other than white, which shall be reserved for the exclusive use by the Board.</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at any meeting of stockholders, subject to the rights of the holders of one or more series of preferred stock of the Corporation,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in the manner provided by law.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Presiding Officer</w:t>
      </w:r>
      <w:r>
        <w:rPr>
          <w:rFonts w:ascii="Times New Roman" w:cs="Times New Roman" w:eastAsia="Times New Roman" w:hAnsi="Times New Roman"/>
          <w:sz w:val="18"/>
          <w:szCs w:val="18"/>
          <w:color w:val="auto"/>
        </w:rPr>
        <w:t>. The Board of Directors shall designate a representative to preside over all Annual Meetings or special meetings of stockholders; provided that if the Board of Directors does not so designate such a presiding officer, then the Chairperson of the Board of Directors (the “Chairperson of the Board”), if one is elected, shall preside over such meetings. If the Board of Directors does not so designate such a presiding officer and there is no Chairperson of the Board or the Chairperson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1.4 and 1.5 of this Article I. The order of business and all other matters of procedure at any meeting of the stockholders shall be determined by the presiding officer.</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the Certificate or required by law.</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Number and Terms</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Qualification</w:t>
      </w:r>
      <w:r>
        <w:rPr>
          <w:rFonts w:ascii="Times New Roman" w:cs="Times New Roman" w:eastAsia="Times New Roman" w:hAnsi="Times New Roman"/>
          <w:sz w:val="18"/>
          <w:szCs w:val="18"/>
          <w:color w:val="auto"/>
        </w:rPr>
        <w:t>. No director need be a stockholder of the Corporation.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2.4.         </w:t>
      </w:r>
      <w:r>
        <w:rPr>
          <w:rFonts w:ascii="Times New Roman" w:cs="Times New Roman" w:eastAsia="Times New Roman" w:hAnsi="Times New Roman"/>
          <w:sz w:val="17"/>
          <w:szCs w:val="17"/>
          <w:u w:val="single" w:color="auto"/>
          <w:color w:val="auto"/>
        </w:rPr>
        <w:t>  Vacancies</w:t>
      </w:r>
      <w:r>
        <w:rPr>
          <w:rFonts w:ascii="Times New Roman" w:cs="Times New Roman" w:eastAsia="Times New Roman" w:hAnsi="Times New Roman"/>
          <w:sz w:val="17"/>
          <w:szCs w:val="17"/>
          <w:color w:val="auto"/>
        </w:rPr>
        <w:t>. Vacancies in the Board of Directors shall be filled in the manner provided in the Certificate.</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Removal</w:t>
      </w:r>
      <w:r>
        <w:rPr>
          <w:rFonts w:ascii="Times New Roman" w:cs="Times New Roman" w:eastAsia="Times New Roman" w:hAnsi="Times New Roman"/>
          <w:sz w:val="18"/>
          <w:szCs w:val="18"/>
          <w:color w:val="auto"/>
        </w:rPr>
        <w:t>. Directors may be removed from office only in the manner provided in the Certificate.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Resignation</w:t>
      </w:r>
      <w:r>
        <w:rPr>
          <w:rFonts w:ascii="Times New Roman" w:cs="Times New Roman" w:eastAsia="Times New Roman" w:hAnsi="Times New Roman"/>
          <w:sz w:val="18"/>
          <w:szCs w:val="18"/>
          <w:color w:val="auto"/>
        </w:rPr>
        <w:t>. A director may resign at any time by giving written notice to the Chairperson of the Board, if one is elected, the Chief Executive Officer, the President or the Secretary. A resignation shall be effective upon receipt, unless the resignation otherwise provides.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2.7.         </w:t>
      </w:r>
      <w:r>
        <w:rPr>
          <w:rFonts w:ascii="Times New Roman" w:cs="Times New Roman" w:eastAsia="Times New Roman" w:hAnsi="Times New Roman"/>
          <w:sz w:val="18"/>
          <w:szCs w:val="18"/>
          <w:u w:val="single" w:color="auto"/>
          <w:color w:val="auto"/>
        </w:rPr>
        <w:t>  Regular Meetings</w:t>
      </w:r>
      <w:r>
        <w:rPr>
          <w:rFonts w:ascii="Times New Roman" w:cs="Times New Roman" w:eastAsia="Times New Roman" w:hAnsi="Times New Roman"/>
          <w:sz w:val="18"/>
          <w:szCs w:val="18"/>
          <w:color w:val="auto"/>
        </w:rPr>
        <w:t>. The regular annual meeting of the Board of Directors may be held, without notice other than this Section 2.7, on the same date and at the same place as the Annual Meeting following the close of such meeting of stockholders.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2.8.         </w:t>
      </w:r>
      <w:r>
        <w:rPr>
          <w:rFonts w:ascii="Times New Roman" w:cs="Times New Roman" w:eastAsia="Times New Roman" w:hAnsi="Times New Roman"/>
          <w:sz w:val="18"/>
          <w:szCs w:val="18"/>
          <w:u w:val="single" w:color="auto"/>
          <w:color w:val="auto"/>
        </w:rPr>
        <w:t>  Special Meetings</w:t>
      </w:r>
      <w:r>
        <w:rPr>
          <w:rFonts w:ascii="Times New Roman" w:cs="Times New Roman" w:eastAsia="Times New Roman" w:hAnsi="Times New Roman"/>
          <w:sz w:val="18"/>
          <w:szCs w:val="18"/>
          <w:color w:val="auto"/>
        </w:rPr>
        <w:t>. Special meetings of the Board of Directors may be called, orally or in writing, by or at the request of a majority of the directors, the Chairperson of the Board, if one is elected, or the President or Chief Executive Officer. The person calling any such special meeting of the Board of Directors may fix the hour, date and place thereof.</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2.9.         </w:t>
      </w:r>
      <w:r>
        <w:rPr>
          <w:rFonts w:ascii="Times New Roman" w:cs="Times New Roman" w:eastAsia="Times New Roman" w:hAnsi="Times New Roman"/>
          <w:sz w:val="18"/>
          <w:szCs w:val="18"/>
          <w:u w:val="single" w:color="auto"/>
          <w:color w:val="auto"/>
        </w:rPr>
        <w:t>  Notice of Meetings</w:t>
      </w:r>
      <w:r>
        <w:rPr>
          <w:rFonts w:ascii="Times New Roman" w:cs="Times New Roman" w:eastAsia="Times New Roman" w:hAnsi="Times New Roman"/>
          <w:sz w:val="18"/>
          <w:szCs w:val="18"/>
          <w:color w:val="auto"/>
        </w:rPr>
        <w:t>. Notice of the hour, date and place of all special meetings of the Board of Directors shall be given to each director by the Secretary or an Assistant Secretary, or in case of the death, absence, incapacity or refusal of such persons, by the Chairperson of the Board, if one is elected, or the President, Chief Executive Officer or such other officer designated by the Chairperson of the Board, if one is elected, or the President or Chief Executive Officer. Notice of any special meeting of the Board of Directors shall be given to each director in person, by telephone, or by electronic mail or other form of electronic communication, sent to his or her business or home address, at least forty-eight (48) hours in advance of the meeting. Such notice shall be deemed to be delivered when hand-delivered to such address, read to such director by telephone, or dispatched or transmitted if sent by 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u w:val="single" w:color="auto"/>
          <w:color w:val="auto"/>
        </w:rPr>
        <w:t>  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209" w:name="page210"/>
    <w:bookmarkEnd w:id="20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  Action at Meeting</w:t>
      </w:r>
      <w:r>
        <w:rPr>
          <w:rFonts w:ascii="Times New Roman" w:cs="Times New Roman" w:eastAsia="Times New Roman" w:hAnsi="Times New Roman"/>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u w:val="single" w:color="auto"/>
          <w:color w:val="auto"/>
        </w:rPr>
        <w:t>  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2.13.         </w:t>
      </w:r>
      <w:r>
        <w:rPr>
          <w:rFonts w:ascii="Times New Roman" w:cs="Times New Roman" w:eastAsia="Times New Roman" w:hAnsi="Times New Roman"/>
          <w:sz w:val="18"/>
          <w:szCs w:val="18"/>
          <w:u w:val="single" w:color="auto"/>
          <w:color w:val="auto"/>
        </w:rPr>
        <w:t>  Manner of Participation</w:t>
      </w:r>
      <w:r>
        <w:rPr>
          <w:rFonts w:ascii="Times New Roman" w:cs="Times New Roman" w:eastAsia="Times New Roman" w:hAnsi="Times New Roman"/>
          <w:sz w:val="18"/>
          <w:szCs w:val="18"/>
          <w:color w:val="auto"/>
        </w:rPr>
        <w:t>. Unless otherwise restricted by the Certificate or these Bylaws, members of the Board of Directors, or any committee designated by the Board of Directors, may participate in a meeting of the Board of Directors, or any committee, by means of teleconference, virtual conference or other communications equipment by means of which all persons participating in the meeting can hear each other, and such participation in a meeting pursuant to this Bylaw shall constitute presence in person at the meeting.</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2.14.         </w:t>
      </w:r>
      <w:r>
        <w:rPr>
          <w:rFonts w:ascii="Times New Roman" w:cs="Times New Roman" w:eastAsia="Times New Roman" w:hAnsi="Times New Roman"/>
          <w:sz w:val="18"/>
          <w:szCs w:val="18"/>
          <w:u w:val="single" w:color="auto"/>
          <w:color w:val="auto"/>
        </w:rPr>
        <w:t>  Presiding Director</w:t>
      </w:r>
      <w:r>
        <w:rPr>
          <w:rFonts w:ascii="Times New Roman" w:cs="Times New Roman" w:eastAsia="Times New Roman" w:hAnsi="Times New Roman"/>
          <w:sz w:val="18"/>
          <w:szCs w:val="18"/>
          <w:color w:val="auto"/>
        </w:rPr>
        <w:t>. The Chairperson of the Board shall preside over all meetings of the Board of Directors and the chairperson of each committee of the Board of Directors shall preside over all meetings of the respective committee. If the Chairperson of the Board or chairperson of such committee of the Board of Directors is unable to preside or is absent, the Board of Directors shall designate an alternate representative to preside over a meeting of the Board of Directors, or committee meeting, as applicable.</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2.15.         </w:t>
      </w:r>
      <w:r>
        <w:rPr>
          <w:rFonts w:ascii="Times New Roman" w:cs="Times New Roman" w:eastAsia="Times New Roman" w:hAnsi="Times New Roman"/>
          <w:sz w:val="18"/>
          <w:szCs w:val="18"/>
          <w:u w:val="single" w:color="auto"/>
          <w:color w:val="auto"/>
        </w:rPr>
        <w:t>  Committees</w:t>
      </w:r>
      <w:r>
        <w:rPr>
          <w:rFonts w:ascii="Times New Roman" w:cs="Times New Roman" w:eastAsia="Times New Roman" w:hAnsi="Times New Roman"/>
          <w:sz w:val="18"/>
          <w:szCs w:val="18"/>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provided that for the avoidance of doubt, any meeting of a committee of the Board shall follow the notice procedures set forth in Section 2.9.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2.16.         </w:t>
      </w:r>
      <w:r>
        <w:rPr>
          <w:rFonts w:ascii="Times New Roman" w:cs="Times New Roman" w:eastAsia="Times New Roman" w:hAnsi="Times New Roman"/>
          <w:sz w:val="18"/>
          <w:szCs w:val="18"/>
          <w:u w:val="single" w:color="auto"/>
          <w:color w:val="auto"/>
        </w:rPr>
        <w:t>  Compensation of Directors</w:t>
      </w:r>
      <w:r>
        <w:rPr>
          <w:rFonts w:ascii="Times New Roman" w:cs="Times New Roman" w:eastAsia="Times New Roman" w:hAnsi="Times New Roman"/>
          <w:sz w:val="18"/>
          <w:szCs w:val="18"/>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Enumeration</w:t>
      </w:r>
      <w:r>
        <w:rPr>
          <w:rFonts w:ascii="Times New Roman" w:cs="Times New Roman" w:eastAsia="Times New Roman" w:hAnsi="Times New Roman"/>
          <w:sz w:val="18"/>
          <w:szCs w:val="18"/>
          <w:color w:val="auto"/>
        </w:rPr>
        <w:t>. The officers of the Corporation shall consist of a President, a Chief Executive Officer, a Secretary and such other officers, including, without limitation, a Chairperson of the Board of Directors, a Treasurer and one or more Vice Presidents, Assistant Vice Presidents, Assistant Treasurers and Assistant Secretaries, as the Board of Directors may determine.</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Election</w:t>
      </w:r>
      <w:r>
        <w:rPr>
          <w:rFonts w:ascii="Times New Roman" w:cs="Times New Roman" w:eastAsia="Times New Roman" w:hAnsi="Times New Roman"/>
          <w:sz w:val="18"/>
          <w:szCs w:val="18"/>
          <w:color w:val="auto"/>
        </w:rPr>
        <w:t>. The Board of Directors shall elect, from time to time at a regular or special meeting of the Board of Directors, the President, the Chief Executive Officer, and the Secretary. Other officers may be elected by the Board of Directors at any regular or special meeting of the Board of Directors.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Qualification</w:t>
      </w:r>
      <w:r>
        <w:rPr>
          <w:rFonts w:ascii="Times New Roman" w:cs="Times New Roman" w:eastAsia="Times New Roman" w:hAnsi="Times New Roman"/>
          <w:sz w:val="18"/>
          <w:szCs w:val="18"/>
          <w:color w:val="auto"/>
        </w:rPr>
        <w:t>. No officer need be a stockholder or a director. Any person may occupy more than one office of the Corporation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210" w:name="page211"/>
    <w:bookmarkEnd w:id="210"/>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Tenure</w:t>
      </w:r>
      <w:r>
        <w:rPr>
          <w:rFonts w:ascii="Times New Roman" w:cs="Times New Roman" w:eastAsia="Times New Roman" w:hAnsi="Times New Roman"/>
          <w:sz w:val="18"/>
          <w:szCs w:val="18"/>
          <w:color w:val="auto"/>
        </w:rPr>
        <w:t>. Except as otherwise provided by the Certificate or by these Bylaws, each of the officers of the Corporation shall hold office until his or her successor is elected and qualified or until his or her earlier resignation or removal.</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Resignation</w:t>
      </w:r>
      <w:r>
        <w:rPr>
          <w:rFonts w:ascii="Times New Roman" w:cs="Times New Roman" w:eastAsia="Times New Roman" w:hAnsi="Times New Roman"/>
          <w:sz w:val="18"/>
          <w:szCs w:val="18"/>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3.6.         </w:t>
      </w:r>
      <w:r>
        <w:rPr>
          <w:rFonts w:ascii="Times New Roman" w:cs="Times New Roman" w:eastAsia="Times New Roman" w:hAnsi="Times New Roman"/>
          <w:sz w:val="18"/>
          <w:szCs w:val="18"/>
          <w:u w:val="single" w:color="auto"/>
          <w:color w:val="auto"/>
        </w:rPr>
        <w:t>  Removal</w:t>
      </w:r>
      <w:r>
        <w:rPr>
          <w:rFonts w:ascii="Times New Roman" w:cs="Times New Roman" w:eastAsia="Times New Roman" w:hAnsi="Times New Roman"/>
          <w:sz w:val="18"/>
          <w:szCs w:val="18"/>
          <w:color w:val="auto"/>
        </w:rPr>
        <w:t>. Except as otherwise provided by law, the Board of Directors may remove any officer with or without cause by the affirmative vote of a majority of the directors then in office.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3.7.         </w:t>
      </w:r>
      <w:r>
        <w:rPr>
          <w:rFonts w:ascii="Times New Roman" w:cs="Times New Roman" w:eastAsia="Times New Roman" w:hAnsi="Times New Roman"/>
          <w:sz w:val="18"/>
          <w:szCs w:val="18"/>
          <w:u w:val="single" w:color="auto"/>
          <w:color w:val="auto"/>
        </w:rPr>
        <w:t>  Absence or Disability.</w:t>
      </w:r>
      <w:r>
        <w:rPr>
          <w:rFonts w:ascii="Times New Roman" w:cs="Times New Roman" w:eastAsia="Times New Roman" w:hAnsi="Times New Roman"/>
          <w:sz w:val="18"/>
          <w:szCs w:val="18"/>
          <w:color w:val="auto"/>
        </w:rPr>
        <w:t xml:space="preserve"> In the event of the absence or disability of any officer, the Board of Directors may designate another officer to act temporarily in place of such absent or disabled officer.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3.8.         </w:t>
      </w:r>
      <w:r>
        <w:rPr>
          <w:rFonts w:ascii="Times New Roman" w:cs="Times New Roman" w:eastAsia="Times New Roman" w:hAnsi="Times New Roman"/>
          <w:sz w:val="17"/>
          <w:szCs w:val="17"/>
          <w:u w:val="single" w:color="auto"/>
          <w:color w:val="auto"/>
        </w:rPr>
        <w:t>  Vacancies</w:t>
      </w:r>
      <w:r>
        <w:rPr>
          <w:rFonts w:ascii="Times New Roman" w:cs="Times New Roman" w:eastAsia="Times New Roman" w:hAnsi="Times New Roman"/>
          <w:sz w:val="17"/>
          <w:szCs w:val="17"/>
          <w:color w:val="auto"/>
        </w:rPr>
        <w:t>. Any vacancy in any office may be filled for the unexpired portion of the term by the Board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3.9.         </w:t>
      </w:r>
      <w:r>
        <w:rPr>
          <w:rFonts w:ascii="Times New Roman" w:cs="Times New Roman" w:eastAsia="Times New Roman" w:hAnsi="Times New Roman"/>
          <w:sz w:val="18"/>
          <w:szCs w:val="18"/>
          <w:u w:val="single" w:color="auto"/>
          <w:color w:val="auto"/>
        </w:rPr>
        <w:t>  President; Chief Executive Officer.</w:t>
      </w:r>
      <w:r>
        <w:rPr>
          <w:rFonts w:ascii="Times New Roman" w:cs="Times New Roman" w:eastAsia="Times New Roman" w:hAnsi="Times New Roman"/>
          <w:sz w:val="18"/>
          <w:szCs w:val="18"/>
          <w:color w:val="auto"/>
        </w:rPr>
        <w:t xml:space="preserve"> Unless the Board of Directors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of Directors, and shall perform all duties and have all powers that are commonly incident to the office of the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Chairperson of the Board</w:t>
      </w:r>
      <w:r>
        <w:rPr>
          <w:rFonts w:ascii="Times New Roman" w:cs="Times New Roman" w:eastAsia="Times New Roman" w:hAnsi="Times New Roman"/>
          <w:sz w:val="18"/>
          <w:szCs w:val="18"/>
          <w:color w:val="auto"/>
        </w:rPr>
        <w:t>. Subject to the provisions of Section 2.14 of these Bylaws, the Chairperson of the Board shall have the 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u w:val="single" w:color="auto"/>
          <w:color w:val="auto"/>
        </w:rPr>
        <w:t>  Vice Presidents and Assistant Vice Presidents</w:t>
      </w:r>
      <w:r>
        <w:rPr>
          <w:rFonts w:ascii="Times New Roman" w:cs="Times New Roman" w:eastAsia="Times New Roman" w:hAnsi="Times New Roman"/>
          <w:sz w:val="18"/>
          <w:szCs w:val="18"/>
          <w:color w:val="auto"/>
        </w:rPr>
        <w:t>. Any Vice President and any Assistant Vice President shall have such powers and shall perform such duties as the Board of Directors or the Chief Executive Officer may from time to time designate.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3.12.         </w:t>
      </w:r>
      <w:r>
        <w:rPr>
          <w:rFonts w:ascii="Times New Roman" w:cs="Times New Roman" w:eastAsia="Times New Roman" w:hAnsi="Times New Roman"/>
          <w:sz w:val="18"/>
          <w:szCs w:val="18"/>
          <w:u w:val="single" w:color="auto"/>
          <w:color w:val="auto"/>
        </w:rPr>
        <w:t>  Treasurer and Assistant Treasurers</w:t>
      </w:r>
      <w:r>
        <w:rPr>
          <w:rFonts w:ascii="Times New Roman" w:cs="Times New Roman" w:eastAsia="Times New Roman" w:hAnsi="Times New Roman"/>
          <w:sz w:val="18"/>
          <w:szCs w:val="18"/>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3.13.         </w:t>
      </w:r>
      <w:r>
        <w:rPr>
          <w:rFonts w:ascii="Times New Roman" w:cs="Times New Roman" w:eastAsia="Times New Roman" w:hAnsi="Times New Roman"/>
          <w:sz w:val="18"/>
          <w:szCs w:val="18"/>
          <w:u w:val="single" w:color="auto"/>
          <w:color w:val="auto"/>
        </w:rPr>
        <w:t>  Secretary and Assistant Secretaries</w:t>
      </w:r>
      <w:r>
        <w:rPr>
          <w:rFonts w:ascii="Times New Roman" w:cs="Times New Roman" w:eastAsia="Times New Roman" w:hAnsi="Times New Roman"/>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211" w:name="page212"/>
    <w:bookmarkEnd w:id="211"/>
    <w:p>
      <w:pPr>
        <w:jc w:val="both"/>
        <w:spacing w:after="0" w:line="266" w:lineRule="auto"/>
        <w:rPr>
          <w:sz w:val="20"/>
          <w:szCs w:val="20"/>
          <w:color w:val="auto"/>
        </w:rPr>
      </w:pPr>
      <w:r>
        <w:rPr>
          <w:rFonts w:ascii="Times New Roman" w:cs="Times New Roman" w:eastAsia="Times New Roman" w:hAnsi="Times New Roman"/>
          <w:sz w:val="18"/>
          <w:szCs w:val="18"/>
          <w:color w:val="auto"/>
        </w:rPr>
        <w:t>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8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Each stockholder shall be entitled to a certificate of the capital stock of the Corporation in such form as may from time to time be prescribed by the Board of Directors. Such certificate shall be signed by any two authorized officers of the Corporation. The Corporation’s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Record Holders.</w:t>
      </w:r>
      <w:r>
        <w:rPr>
          <w:rFonts w:ascii="Times New Roman" w:cs="Times New Roman" w:eastAsia="Times New Roman" w:hAnsi="Times New Roman"/>
          <w:sz w:val="18"/>
          <w:szCs w:val="18"/>
          <w:color w:val="auto"/>
        </w:rPr>
        <w:t xml:space="preserve">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u w:val="single" w:color="auto"/>
          <w:color w:val="auto"/>
        </w:rPr>
        <w:t>  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212" w:name="page213"/>
    <w:bookmarkEnd w:id="21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4.5.         </w:t>
      </w:r>
      <w:r>
        <w:rPr>
          <w:rFonts w:ascii="Times New Roman" w:cs="Times New Roman" w:eastAsia="Times New Roman" w:hAnsi="Times New Roman"/>
          <w:sz w:val="18"/>
          <w:szCs w:val="18"/>
          <w:u w:val="single" w:color="auto"/>
          <w:color w:val="auto"/>
        </w:rPr>
        <w:t>  Replacement of Certificates</w:t>
      </w:r>
      <w:r>
        <w:rPr>
          <w:rFonts w:ascii="Times New Roman" w:cs="Times New Roman" w:eastAsia="Times New Roman" w:hAnsi="Times New Roman"/>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5.1.           Definitions. For purposes of this Article:</w:t>
      </w:r>
    </w:p>
    <w:p>
      <w:pPr>
        <w:spacing w:after="0" w:line="225" w:lineRule="exact"/>
        <w:rPr>
          <w:sz w:val="20"/>
          <w:szCs w:val="20"/>
          <w:color w:val="auto"/>
        </w:rPr>
      </w:pPr>
    </w:p>
    <w:p>
      <w:pPr>
        <w:jc w:val="both"/>
        <w:ind w:firstLine="1952"/>
        <w:spacing w:after="0" w:line="253" w:lineRule="auto"/>
        <w:tabs>
          <w:tab w:leader="none" w:pos="220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5.1(a),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9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“Director” means any person who serves or has served the Corporation as a director on the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(c)           “Disinterested Director” means, with respect to each Proceeding in respect of which indemnification is sought hereunder, a Director of the Corporation who is not and was not a party to such Proceeding;</w:t>
      </w:r>
    </w:p>
    <w:p>
      <w:pPr>
        <w:spacing w:after="0" w:line="162"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(d)           “Expenses”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           “Liabilities” means judgments, damages, liabilities, losses, penalties, excise taxes, fines and amounts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in settlement;</w:t>
      </w:r>
    </w:p>
    <w:p>
      <w:pPr>
        <w:spacing w:after="0" w:line="207" w:lineRule="exact"/>
        <w:rPr>
          <w:sz w:val="20"/>
          <w:szCs w:val="20"/>
          <w:color w:val="auto"/>
        </w:rPr>
      </w:pPr>
    </w:p>
    <w:p>
      <w:pPr>
        <w:ind w:right="20" w:firstLine="1952"/>
        <w:spacing w:after="0" w:line="282" w:lineRule="auto"/>
        <w:tabs>
          <w:tab w:leader="none" w:pos="218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“Non-Officer Employee” means any person who serves or has served as an employee or agent of the Corporation, but who is not or was not a Director or Officer;</w:t>
      </w:r>
    </w:p>
    <w:p>
      <w:pPr>
        <w:spacing w:after="0" w:line="162"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(g)           “Officer” means any person who serves or has served the Corporation as an officer of the Corporation appointed by the Board of Directors;</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(h)           “Proceeding”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76"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           “Subsidiary”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color w:val="auto"/>
        </w:rPr>
        <w:t>capital stock or other voting equity interests of such corporation, partnership, limited liability company, joint venture or other entity.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1" w:lineRule="auto"/>
        <w:tabs>
          <w:tab w:leader="none" w:pos="21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operation of Section 5.4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5.2.</w:t>
      </w:r>
    </w:p>
    <w:p>
      <w:pPr>
        <w:spacing w:after="0" w:line="180"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89" w:lineRule="exact"/>
        <w:rPr>
          <w:sz w:val="20"/>
          <w:szCs w:val="20"/>
          <w:color w:val="auto"/>
        </w:rPr>
      </w:pPr>
    </w:p>
    <w:p>
      <w:pPr>
        <w:jc w:val="both"/>
        <w:ind w:firstLine="2592"/>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Actions, Suits and Proceedings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5.2(a)(2)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92"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Survival of Rights</w:t>
      </w:r>
      <w:r>
        <w:rPr>
          <w:rFonts w:ascii="Times New Roman" w:cs="Times New Roman" w:eastAsia="Times New Roman" w:hAnsi="Times New Roman"/>
          <w:sz w:val="18"/>
          <w:szCs w:val="18"/>
          <w:color w:val="auto"/>
        </w:rPr>
        <w:t>. The rights of indemnification provided by this Section 5.2 shall continue as to a Director or Officer after he or she has ceased to be a Director or Officer and shall inure to the benefit of his or her heirs, executors, administrators and personal representatives.</w:t>
      </w:r>
    </w:p>
    <w:p>
      <w:pPr>
        <w:spacing w:after="0" w:line="176" w:lineRule="exact"/>
        <w:rPr>
          <w:sz w:val="20"/>
          <w:szCs w:val="20"/>
          <w:color w:val="auto"/>
        </w:rPr>
      </w:pPr>
    </w:p>
    <w:p>
      <w:pPr>
        <w:jc w:val="both"/>
        <w:ind w:firstLine="2592"/>
        <w:spacing w:after="0" w:line="256"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Subject to the operation of Section 5.4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5.3 shall exist as to a Non-Officer Employee after he or she has ceased to be a Non-Officer Employee and shall inure to the benefit of his or her heirs, personal representatives, executors and administrators. Notwithstanding the foregoing, the Corporation may indemnify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214" w:name="page215"/>
    <w:bookmarkEnd w:id="214"/>
    <w:p>
      <w:pPr>
        <w:jc w:val="both"/>
        <w:spacing w:after="0" w:line="282" w:lineRule="auto"/>
        <w:rPr>
          <w:sz w:val="20"/>
          <w:szCs w:val="20"/>
          <w:color w:val="auto"/>
        </w:rPr>
      </w:pPr>
      <w:r>
        <w:rPr>
          <w:rFonts w:ascii="Times New Roman" w:cs="Times New Roman" w:eastAsia="Times New Roman" w:hAnsi="Times New Roman"/>
          <w:sz w:val="18"/>
          <w:szCs w:val="18"/>
          <w:color w:val="auto"/>
        </w:rPr>
        <w:t>Non-Officer Employee seeking indemnification in connection with a Proceeding initiated by such Non-Officer Employee only if such Proceeding was authorized in advance by the Board of Directors.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(a)           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94"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(b)           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92" w:lineRule="exact"/>
        <w:rPr>
          <w:sz w:val="20"/>
          <w:szCs w:val="20"/>
          <w:color w:val="auto"/>
        </w:rPr>
      </w:pPr>
    </w:p>
    <w:p>
      <w:pPr>
        <w:jc w:val="both"/>
        <w:ind w:firstLine="1952"/>
        <w:spacing w:after="0" w:line="266" w:lineRule="auto"/>
        <w:tabs>
          <w:tab w:leader="none" w:pos="219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Advancement of Expenses to Officers and Non-Officer Employees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(a)           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45" w:right="999" w:bottom="1440" w:gutter="0" w:footer="0" w:header="0"/>
        </w:sectPr>
      </w:pPr>
    </w:p>
    <w:bookmarkStart w:id="215" w:name="page216"/>
    <w:bookmarkEnd w:id="215"/>
    <w:p>
      <w:pPr>
        <w:jc w:val="both"/>
        <w:ind w:right="20" w:firstLine="1944"/>
        <w:spacing w:after="0" w:line="266" w:lineRule="auto"/>
        <w:rPr>
          <w:sz w:val="20"/>
          <w:szCs w:val="20"/>
          <w:color w:val="auto"/>
        </w:rPr>
      </w:pPr>
      <w:r>
        <w:rPr>
          <w:rFonts w:ascii="Times New Roman" w:cs="Times New Roman" w:eastAsia="Times New Roman" w:hAnsi="Times New Roman"/>
          <w:sz w:val="18"/>
          <w:szCs w:val="18"/>
          <w:color w:val="auto"/>
        </w:rPr>
        <w:t>(b)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(a)           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190" w:lineRule="exact"/>
        <w:rPr>
          <w:sz w:val="20"/>
          <w:szCs w:val="20"/>
          <w:color w:val="auto"/>
        </w:rPr>
      </w:pPr>
    </w:p>
    <w:p>
      <w:pPr>
        <w:jc w:val="both"/>
        <w:ind w:firstLine="1952"/>
        <w:spacing w:after="0" w:line="254" w:lineRule="auto"/>
        <w:tabs>
          <w:tab w:leader="none" w:pos="221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91" w:lineRule="exact"/>
        <w:rPr>
          <w:rFonts w:ascii="Times New Roman" w:cs="Times New Roman" w:eastAsia="Times New Roman" w:hAnsi="Times New Roman"/>
          <w:sz w:val="18"/>
          <w:szCs w:val="18"/>
          <w:color w:val="auto"/>
        </w:rPr>
      </w:pPr>
    </w:p>
    <w:p>
      <w:pPr>
        <w:ind w:firstLine="1952"/>
        <w:spacing w:after="0" w:line="282" w:lineRule="auto"/>
        <w:tabs>
          <w:tab w:leader="none" w:pos="220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216" w:name="page217"/>
    <w:bookmarkEnd w:id="2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plan or other enterprise shall only be in excess of, and shall be secondary to, the indemnification or advancement of Expenses available from the applicable Primary Indemnitor(s) and any applicable insurance policies.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Execution of Instruments</w:t>
      </w:r>
      <w:r>
        <w:rPr>
          <w:rFonts w:ascii="Times New Roman" w:cs="Times New Roman" w:eastAsia="Times New Roman" w:hAnsi="Times New Roman"/>
          <w:sz w:val="18"/>
          <w:szCs w:val="18"/>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Chief Executive Officer, the President or the Treasurer or any other officer, employee or agent of the Corporation as the Board of Directors or a committee of the Board of Directors may authorize.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u w:val="single" w:color="auto"/>
          <w:color w:val="auto"/>
        </w:rPr>
        <w:t>  Voting of Securities</w:t>
      </w:r>
      <w:r>
        <w:rPr>
          <w:rFonts w:ascii="Times New Roman" w:cs="Times New Roman" w:eastAsia="Times New Roman" w:hAnsi="Times New Roman"/>
          <w:sz w:val="18"/>
          <w:szCs w:val="18"/>
          <w:color w:val="auto"/>
        </w:rPr>
        <w:t>. Unless the Board of Directors otherwise provides, the Chairperson of the Board, if one is elected, the Chief Executive Officer,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u w:val="single" w:color="auto"/>
          <w:color w:val="auto"/>
        </w:rPr>
        <w:t>  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6.6.         </w:t>
      </w:r>
      <w:r>
        <w:rPr>
          <w:rFonts w:ascii="Times New Roman" w:cs="Times New Roman" w:eastAsia="Times New Roman" w:hAnsi="Times New Roman"/>
          <w:sz w:val="18"/>
          <w:szCs w:val="18"/>
          <w:u w:val="single" w:color="auto"/>
          <w:color w:val="auto"/>
        </w:rPr>
        <w:t>  Corporate Records</w:t>
      </w:r>
      <w:r>
        <w:rPr>
          <w:rFonts w:ascii="Times New Roman" w:cs="Times New Roman" w:eastAsia="Times New Roman" w:hAnsi="Times New Roman"/>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Section 6.7.         </w:t>
      </w:r>
      <w:r>
        <w:rPr>
          <w:rFonts w:ascii="Times New Roman" w:cs="Times New Roman" w:eastAsia="Times New Roman" w:hAnsi="Times New Roman"/>
          <w:sz w:val="18"/>
          <w:szCs w:val="18"/>
          <w:u w:val="single" w:color="auto"/>
          <w:color w:val="auto"/>
        </w:rPr>
        <w:t>  Certificate</w:t>
      </w:r>
      <w:r>
        <w:rPr>
          <w:rFonts w:ascii="Times New Roman" w:cs="Times New Roman" w:eastAsia="Times New Roman" w:hAnsi="Times New Roman"/>
          <w:sz w:val="18"/>
          <w:szCs w:val="18"/>
          <w:color w:val="auto"/>
        </w:rPr>
        <w:t>. All references in these Bylaws to the Certificate shall be deemed to refer to the Fourth Amended and Restated Certificate of Incorporation of the Corporation, as amended and/or restated and in effect from time to time.</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Exclusive Jurisdiction of Delaware Courts</w:t>
      </w:r>
      <w:r>
        <w:rPr>
          <w:rFonts w:ascii="Times New Roman" w:cs="Times New Roman" w:eastAsia="Times New Roman" w:hAnsi="Times New Roman"/>
          <w:sz w:val="18"/>
          <w:szCs w:val="18"/>
          <w:color w:val="auto"/>
        </w:rPr>
        <w:t>. Unless the Corporation consents in writing to the selection of an alternative forum, the Court of Chancery of the State of Delaware (or,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to the fullest extent permitted by law, be the sole and exclusive forum for (i) any derivative claim or cause of action brought on behalf of the Corporation; (ii) any claim or cause of action for breach of fiduciary duty owed by any current or former director, officer or other employee, agent or stockholder of the Corporation to the Corporation or the Corporation’s stockholders; (iii) any claim or cause of action against the Corporation or any current or former director, officer or other employee of the Corporation, arising out of or pursuant to any provision of the DGCL, the Certificate or these Bylaws (as each may be amended from time to time); (iv) any claim or cause of action seeking to interpret, apply, enforce or determine the validity of the Certificate or these Bylaws (as each may be amended from time to time, including any right, obligation or remedy thereunder); (v) any claim or cause of action as to which the DGCL confers jurisdiction on the Court of Chancery of the State of Delaware; and (vi) any claim or cause of action against the Corporation or any current or former director, officer or other employee of the Corporation, governed by the internal affairs doctrine or otherwise related to the corporation’s internal affairs, in all cases to the fullest extent permitted by law and subject to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217" w:name="page218"/>
    <w:bookmarkEnd w:id="217"/>
    <w:p>
      <w:pPr>
        <w:jc w:val="both"/>
        <w:spacing w:after="0" w:line="258" w:lineRule="auto"/>
        <w:rPr>
          <w:sz w:val="20"/>
          <w:szCs w:val="20"/>
          <w:color w:val="auto"/>
        </w:rPr>
      </w:pPr>
      <w:r>
        <w:rPr>
          <w:rFonts w:ascii="Times New Roman" w:cs="Times New Roman" w:eastAsia="Times New Roman" w:hAnsi="Times New Roman"/>
          <w:sz w:val="18"/>
          <w:szCs w:val="18"/>
          <w:color w:val="auto"/>
        </w:rPr>
        <w:t>having personal jurisdiction over the indispensable parties named as defendants. This Section 6.8 shall not apply to claims or causes of action brought to enforce a duty or liability created by the Securities Act of 1933, as amended (the “1933 Act”) Act or the Exchange Act or any other claim for which the federal courts have exclusive jurisdiction. 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1933 Act.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Amendment by Directors</w:t>
      </w:r>
      <w:r>
        <w:rPr>
          <w:rFonts w:ascii="Times New Roman" w:cs="Times New Roman" w:eastAsia="Times New Roman" w:hAnsi="Times New Roman"/>
          <w:sz w:val="18"/>
          <w:szCs w:val="18"/>
          <w:color w:val="auto"/>
        </w:rPr>
        <w:t>. Except as provided otherwise by law, these Bylaws may be amended or repealed by the Board of Directors by the affirmative vote of a majority of the directors then in office.</w:t>
      </w:r>
    </w:p>
    <w:p>
      <w:pPr>
        <w:spacing w:after="0" w:line="162"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Amendment by Stockholders</w:t>
      </w:r>
      <w:r>
        <w:rPr>
          <w:rFonts w:ascii="Times New Roman" w:cs="Times New Roman" w:eastAsia="Times New Roman" w:hAnsi="Times New Roman"/>
          <w:sz w:val="18"/>
          <w:szCs w:val="18"/>
          <w:color w:val="auto"/>
        </w:rPr>
        <w:t>. These Bylaws may be amended or repealed at any Annual Meeting, or special meeting of stockholders called for such purpose in accordance with these Bylaws, by the affirmative vote of at least sixty-six and two thirds percent (66</w:t>
      </w:r>
      <w:r>
        <w:rPr>
          <w:rFonts w:ascii="Times New Roman" w:cs="Times New Roman" w:eastAsia="Times New Roman" w:hAnsi="Times New Roman"/>
          <w:sz w:val="16"/>
          <w:szCs w:val="16"/>
          <w:color w:val="auto"/>
        </w:rPr>
        <w:t>2/3%</w:t>
      </w:r>
      <w:r>
        <w:rPr>
          <w:rFonts w:ascii="Times New Roman" w:cs="Times New Roman" w:eastAsia="Times New Roman" w:hAnsi="Times New Roman"/>
          <w:sz w:val="18"/>
          <w:szCs w:val="18"/>
          <w:color w:val="auto"/>
        </w:rPr>
        <w:t>)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Meeting Attendance via Remote Communication Equipment</w:t>
      </w:r>
      <w:r>
        <w:rPr>
          <w:rFonts w:ascii="Times New Roman" w:cs="Times New Roman" w:eastAsia="Times New Roman" w:hAnsi="Times New Roman"/>
          <w:sz w:val="18"/>
          <w:szCs w:val="18"/>
          <w:color w:val="auto"/>
        </w:rPr>
        <w:t>. If authorized by the Board of Directors in its sole discretion, and subject to such guidelines and procedures as the Board may adopt, stockholders entitled to vote at an Annual Meeting or special meeting of stockholders and proxy holders not physically present at an Annual Meeting or special meeting of stockholders may, by means of remote communication:</w:t>
      </w:r>
    </w:p>
    <w:p>
      <w:pPr>
        <w:spacing w:after="0" w:line="180" w:lineRule="exact"/>
        <w:rPr>
          <w:sz w:val="20"/>
          <w:szCs w:val="20"/>
          <w:color w:val="auto"/>
        </w:rPr>
      </w:pPr>
    </w:p>
    <w:p>
      <w:pPr>
        <w:ind w:left="2200" w:hanging="248"/>
        <w:spacing w:after="0"/>
        <w:tabs>
          <w:tab w:leader="none" w:pos="22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 meeting of stockholders; and</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0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Adopted March 9, 2023 and effective as of 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45" w:right="999" w:bottom="1440" w:gutter="0" w:footer="0" w:header="0"/>
        </w:sectPr>
      </w:pPr>
    </w:p>
    <w:bookmarkStart w:id="218" w:name="page219"/>
    <w:bookmarkEnd w:id="21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700" w:hanging="326"/>
        <w:spacing w:after="0"/>
        <w:tabs>
          <w:tab w:leader="none" w:pos="7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333-265975) of Century Therapeutics, Inc.,</w:t>
      </w:r>
    </w:p>
    <w:p>
      <w:pPr>
        <w:spacing w:after="0" w:line="27" w:lineRule="exact"/>
        <w:rPr>
          <w:rFonts w:ascii="Times New Roman" w:cs="Times New Roman" w:eastAsia="Times New Roman" w:hAnsi="Times New Roman"/>
          <w:sz w:val="18"/>
          <w:szCs w:val="18"/>
          <w:color w:val="auto"/>
        </w:rPr>
      </w:pPr>
    </w:p>
    <w:p>
      <w:pPr>
        <w:ind w:left="700" w:right="659" w:hanging="326"/>
        <w:spacing w:after="0" w:line="266" w:lineRule="auto"/>
        <w:tabs>
          <w:tab w:leader="none" w:pos="7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333-263666) pertaining to the 2021 Equity Incentive Plan and 2021 Employee Stock Purchase Plan of Century Therapeutics, Inc.</w:t>
      </w:r>
    </w:p>
    <w:p>
      <w:pPr>
        <w:ind w:left="700" w:right="459" w:hanging="326"/>
        <w:spacing w:after="0" w:line="292" w:lineRule="auto"/>
        <w:tabs>
          <w:tab w:leader="none" w:pos="7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333-257644) pertaining to the 2018 Stock Option and Gant Plan, 2021 Equity Incentive Plan, and the 2021 Employee Stock Purchase Plan of Century Therapeutics, Inc.</w:t>
      </w: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our report dated March 16, 2023, with respect to the consolidated financial statements of Century Therapeutics,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included in this Annual Report (Form 10-K) of Century Therapeutics, Inc. for the year ended December 31, 2022.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Osvaldo Flores, certify that:</w:t>
      </w:r>
    </w:p>
    <w:p>
      <w:pPr>
        <w:spacing w:after="0" w:line="117" w:lineRule="exact"/>
        <w:rPr>
          <w:sz w:val="20"/>
          <w:szCs w:val="20"/>
          <w:color w:val="auto"/>
        </w:rPr>
      </w:pPr>
    </w:p>
    <w:p>
      <w:pPr>
        <w:ind w:left="880" w:hanging="440"/>
        <w:spacing w:after="0"/>
        <w:tabs>
          <w:tab w:leader="none" w:pos="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Osvaldo Flores, Ph.D.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Diem, certify that:</w:t>
      </w:r>
    </w:p>
    <w:p>
      <w:pPr>
        <w:spacing w:after="0" w:line="117" w:lineRule="exact"/>
        <w:rPr>
          <w:sz w:val="20"/>
          <w:szCs w:val="20"/>
          <w:color w:val="auto"/>
        </w:rPr>
      </w:pPr>
    </w:p>
    <w:p>
      <w:pPr>
        <w:ind w:left="880" w:hanging="440"/>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3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Century Therapeutics, Inc. (the “Company”) on Form 10-K for the year ended December 31,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Osvaldo Flores, Ph.D.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Century Therapeutics, Inc. (the “Company”) on Form 10-K for the year ended December 31,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1)"/>
      <w:numFmt w:val="decimal"/>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upperLetter"/>
      <w:start w:val="1"/>
    </w:lvl>
  </w:abstractNum>
  <w:abstractNum w:abstractNumId="8">
    <w:nsid w:val="1BA026FA"/>
    <w:multiLevelType w:val="hybridMultilevel"/>
    <w:lvl w:ilvl="0">
      <w:lvlJc w:val="left"/>
      <w:lvlText w:val="(%1)"/>
      <w:numFmt w:val="decimal"/>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1)"/>
      <w:numFmt w:val="lowerRoman"/>
      <w:start w:val="2"/>
    </w:lvl>
  </w:abstractNum>
  <w:abstractNum w:abstractNumId="11">
    <w:nsid w:val="12E685FB"/>
    <w:multiLevelType w:val="hybridMultilevel"/>
    <w:lvl w:ilvl="0">
      <w:lvlJc w:val="left"/>
      <w:lvlText w:val="(%1)"/>
      <w:numFmt w:val="lowerRoman"/>
      <w:start w:val="2"/>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1)"/>
      <w:numFmt w:val="lowerRoman"/>
      <w:start w:val="4"/>
    </w:lvl>
    <w:lvl w:ilvl="1">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1)"/>
      <w:numFmt w:val="decimal"/>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1."/>
      <w:numFmt w:val="decimal"/>
      <w:start w:val="606"/>
    </w:lvl>
  </w:abstractNum>
  <w:abstractNum w:abstractNumId="65">
    <w:nsid w:val="3B0FD379"/>
    <w:multiLevelType w:val="hybridMultilevel"/>
    <w:lvl w:ilvl="0">
      <w:lvlJc w:val="left"/>
      <w:lvlText w:val="%1"/>
      <w:numFmt w:val="decimal"/>
      <w:start w:val="606"/>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lvl w:ilvl="1">
      <w:lvlJc w:val="left"/>
      <w:lvlText w:val="%2"/>
      <w:numFmt w:val="decimal"/>
      <w:start w:val="104"/>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1)"/>
      <w:numFmt w:val="lowerLetter"/>
      <w:start w:val="1"/>
    </w:lvl>
    <w:lvl w:ilvl="1">
      <w:lvlJc w:val="left"/>
      <w:lvlText w:val="(%2)"/>
      <w:numFmt w:val="decimal"/>
      <w:start w:val="1"/>
    </w:lvl>
  </w:abstractNum>
  <w:abstractNum w:abstractNumId="74">
    <w:nsid w:val="100F59DC"/>
    <w:multiLevelType w:val="hybridMultilevel"/>
    <w:lvl w:ilvl="0">
      <w:lvlJc w:val="left"/>
      <w:lvlText w:val="(%1)"/>
      <w:numFmt w:val="lowerLetter"/>
      <w:start w:val="25"/>
    </w:lvl>
  </w:abstractNum>
  <w:abstractNum w:abstractNumId="75">
    <w:nsid w:val="7FB7E0AA"/>
    <w:multiLevelType w:val="hybridMultilevel"/>
    <w:lvl w:ilvl="0">
      <w:lvlJc w:val="left"/>
      <w:lvlText w:val="(%1)"/>
      <w:numFmt w:val="decimal"/>
      <w:start w:val="3"/>
    </w:lvl>
  </w:abstractNum>
  <w:abstractNum w:abstractNumId="76">
    <w:nsid w:val="6EB5BD4"/>
    <w:multiLevelType w:val="hybridMultilevel"/>
    <w:lvl w:ilvl="0">
      <w:lvlJc w:val="left"/>
      <w:lvlText w:val="%1"/>
      <w:numFmt w:val="lowerLetter"/>
      <w:start w:val="1"/>
    </w:lvl>
    <w:lvl w:ilvl="1">
      <w:lvlJc w:val="left"/>
      <w:lvlText w:val="(%2)"/>
      <w:numFmt w:val="decimal"/>
      <w:start w:val="4"/>
    </w:lvl>
  </w:abstractNum>
  <w:abstractNum w:abstractNumId="77">
    <w:nsid w:val="6F6DD9AC"/>
    <w:multiLevelType w:val="hybridMultilevel"/>
    <w:lvl w:ilvl="0">
      <w:lvlJc w:val="left"/>
      <w:lvlText w:val="(%1)"/>
      <w:numFmt w:val="lowerLetter"/>
      <w:start w:val="2"/>
    </w:lvl>
    <w:lvl w:ilvl="1">
      <w:lvlJc w:val="left"/>
      <w:lvlText w:val="(%2)"/>
      <w:numFmt w:val="decimal"/>
      <w:start w:val="1"/>
    </w:lvl>
  </w:abstractNum>
  <w:abstractNum w:abstractNumId="78">
    <w:nsid w:val="94211F2"/>
    <w:multiLevelType w:val="hybridMultilevel"/>
    <w:lvl w:ilvl="0">
      <w:lvlJc w:val="left"/>
      <w:lvlText w:val="%1"/>
      <w:numFmt w:val="lowerRoman"/>
      <w:start w:val="1"/>
    </w:lvl>
    <w:lvl w:ilvl="1">
      <w:lvlJc w:val="left"/>
      <w:lvlText w:val="(%2)"/>
      <w:numFmt w:val="decimal"/>
      <w:start w:val="4"/>
    </w:lvl>
  </w:abstractNum>
  <w:abstractNum w:abstractNumId="79">
    <w:nsid w:val="885E1B"/>
    <w:multiLevelType w:val="hybridMultilevel"/>
    <w:lvl w:ilvl="0">
      <w:lvlJc w:val="left"/>
      <w:lvlText w:val="(%1)"/>
      <w:numFmt w:val="lowerRoman"/>
      <w:start w:val="1"/>
    </w:lvl>
    <w:lvl w:ilvl="1">
      <w:lvlJc w:val="left"/>
      <w:lvlText w:val="%2"/>
      <w:numFmt w:val="decimal"/>
      <w:start w:val="1"/>
    </w:lvl>
  </w:abstractNum>
  <w:abstractNum w:abstractNumId="80">
    <w:nsid w:val="76272110"/>
    <w:multiLevelType w:val="hybridMultilevel"/>
    <w:lvl w:ilvl="0">
      <w:lvlJc w:val="left"/>
      <w:lvlText w:val="(%1)"/>
      <w:numFmt w:val="lowerLetter"/>
      <w:start w:val="1"/>
    </w:lvl>
  </w:abstractNum>
  <w:abstractNum w:abstractNumId="81">
    <w:nsid w:val="4C04A8AF"/>
    <w:multiLevelType w:val="hybridMultilevel"/>
    <w:lvl w:ilvl="0">
      <w:lvlJc w:val="left"/>
      <w:lvlText w:val="(%1)"/>
      <w:numFmt w:val="lowerLetter"/>
      <w:start w:val="2"/>
    </w:lvl>
  </w:abstractNum>
  <w:abstractNum w:abstractNumId="82">
    <w:nsid w:val="1716703B"/>
    <w:multiLevelType w:val="hybridMultilevel"/>
    <w:lvl w:ilvl="0">
      <w:lvlJc w:val="left"/>
      <w:lvlText w:val="(%1)"/>
      <w:numFmt w:val="lowerLetter"/>
      <w:start w:val="1"/>
    </w:lvl>
  </w:abstractNum>
  <w:abstractNum w:abstractNumId="83">
    <w:nsid w:val="14E17E33"/>
    <w:multiLevelType w:val="hybridMultilevel"/>
    <w:lvl w:ilvl="0">
      <w:lvlJc w:val="left"/>
      <w:lvlText w:val="(%1)"/>
      <w:numFmt w:val="lowerLetter"/>
      <w:start w:val="6"/>
    </w:lvl>
  </w:abstractNum>
  <w:abstractNum w:abstractNumId="84">
    <w:nsid w:val="3222E7CD"/>
    <w:multiLevelType w:val="hybridMultilevel"/>
    <w:lvl w:ilvl="0">
      <w:lvlJc w:val="left"/>
      <w:lvlText w:val="(%1)"/>
      <w:numFmt w:val="lowerLetter"/>
      <w:start w:val="1"/>
    </w:lvl>
  </w:abstractNum>
  <w:abstractNum w:abstractNumId="85">
    <w:nsid w:val="74DE0EE3"/>
    <w:multiLevelType w:val="hybridMultilevel"/>
    <w:lvl w:ilvl="0">
      <w:lvlJc w:val="left"/>
      <w:lvlText w:val="(%1)"/>
      <w:numFmt w:val="lowerLetter"/>
      <w:start w:val="3"/>
    </w:lvl>
  </w:abstractNum>
  <w:abstractNum w:abstractNumId="86">
    <w:nsid w:val="68EBC550"/>
    <w:multiLevelType w:val="hybridMultilevel"/>
    <w:lvl w:ilvl="0">
      <w:lvlJc w:val="left"/>
      <w:lvlText w:val="(%1)"/>
      <w:numFmt w:val="lowerLetter"/>
      <w:start w:val="2"/>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1)"/>
      <w:numFmt w:val="decimal"/>
      <w:start w:val="1"/>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73" Type="http://schemas.openxmlformats.org/officeDocument/2006/relationships/image" Target="media/image252.png"/><Relationship Id="rId305" Type="http://schemas.openxmlformats.org/officeDocument/2006/relationships/image" Target="media/image253.png"/><Relationship Id="rId306" Type="http://schemas.openxmlformats.org/officeDocument/2006/relationships/image" Target="media/image254.png"/><Relationship Id="rId307" Type="http://schemas.openxmlformats.org/officeDocument/2006/relationships/image" Target="media/image255.png"/><Relationship Id="rId308" Type="http://schemas.openxmlformats.org/officeDocument/2006/relationships/image" Target="media/image256.png"/><Relationship Id="rId309" Type="http://schemas.openxmlformats.org/officeDocument/2006/relationships/image" Target="media/image257.png"/><Relationship Id="rId310" Type="http://schemas.openxmlformats.org/officeDocument/2006/relationships/image" Target="media/image258.png"/><Relationship Id="rId311" Type="http://schemas.openxmlformats.org/officeDocument/2006/relationships/image" Target="media/image259.png"/><Relationship Id="rId312" Type="http://schemas.openxmlformats.org/officeDocument/2006/relationships/image" Target="media/image260.png"/><Relationship Id="rId313" Type="http://schemas.openxmlformats.org/officeDocument/2006/relationships/image" Target="media/image261.png"/><Relationship Id="rId314" Type="http://schemas.openxmlformats.org/officeDocument/2006/relationships/image" Target="media/image262.png"/><Relationship Id="rId315" Type="http://schemas.openxmlformats.org/officeDocument/2006/relationships/image" Target="media/image263.png"/><Relationship Id="rId316" Type="http://schemas.openxmlformats.org/officeDocument/2006/relationships/image" Target="media/image264.png"/><Relationship Id="rId317" Type="http://schemas.openxmlformats.org/officeDocument/2006/relationships/image" Target="media/image265.png"/><Relationship Id="rId318" Type="http://schemas.openxmlformats.org/officeDocument/2006/relationships/image" Target="media/image266.png"/><Relationship Id="rId319" Type="http://schemas.openxmlformats.org/officeDocument/2006/relationships/image" Target="media/image267.png"/><Relationship Id="rId320" Type="http://schemas.openxmlformats.org/officeDocument/2006/relationships/image" Target="media/image268.png"/><Relationship Id="rId321" Type="http://schemas.openxmlformats.org/officeDocument/2006/relationships/image" Target="media/image269.png"/><Relationship Id="rId322" Type="http://schemas.openxmlformats.org/officeDocument/2006/relationships/image" Target="media/image270.png"/><Relationship Id="rId323" Type="http://schemas.openxmlformats.org/officeDocument/2006/relationships/image" Target="media/image271.png"/><Relationship Id="rId324" Type="http://schemas.openxmlformats.org/officeDocument/2006/relationships/image" Target="media/image272.png"/><Relationship Id="rId325" Type="http://schemas.openxmlformats.org/officeDocument/2006/relationships/image" Target="media/image273.png"/><Relationship Id="rId326" Type="http://schemas.openxmlformats.org/officeDocument/2006/relationships/image" Target="media/image274.png"/><Relationship Id="rId327" Type="http://schemas.openxmlformats.org/officeDocument/2006/relationships/image" Target="media/image275.png"/><Relationship Id="rId328" Type="http://schemas.openxmlformats.org/officeDocument/2006/relationships/image" Target="media/image276.png"/><Relationship Id="rId329" Type="http://schemas.openxmlformats.org/officeDocument/2006/relationships/image" Target="media/image277.png"/><Relationship Id="rId330" Type="http://schemas.openxmlformats.org/officeDocument/2006/relationships/image" Target="media/image278.png"/><Relationship Id="rId331" Type="http://schemas.openxmlformats.org/officeDocument/2006/relationships/image" Target="media/image279.png"/><Relationship Id="rId332" Type="http://schemas.openxmlformats.org/officeDocument/2006/relationships/image" Target="media/image280.png"/><Relationship Id="rId333" Type="http://schemas.openxmlformats.org/officeDocument/2006/relationships/image" Target="media/image281.png"/><Relationship Id="rId334" Type="http://schemas.openxmlformats.org/officeDocument/2006/relationships/image" Target="media/image282.png"/><Relationship Id="rId335" Type="http://schemas.openxmlformats.org/officeDocument/2006/relationships/image" Target="media/image283.png"/><Relationship Id="rId336" Type="http://schemas.openxmlformats.org/officeDocument/2006/relationships/image" Target="media/image284.png"/><Relationship Id="rId337" Type="http://schemas.openxmlformats.org/officeDocument/2006/relationships/image" Target="media/image285.png"/><Relationship Id="rId338" Type="http://schemas.openxmlformats.org/officeDocument/2006/relationships/image" Target="media/image286.png"/><Relationship Id="rId339" Type="http://schemas.openxmlformats.org/officeDocument/2006/relationships/image" Target="media/image287.png"/><Relationship Id="rId340" Type="http://schemas.openxmlformats.org/officeDocument/2006/relationships/image" Target="media/image288.png"/><Relationship Id="rId341" Type="http://schemas.openxmlformats.org/officeDocument/2006/relationships/image" Target="media/image289.png"/><Relationship Id="rId342" Type="http://schemas.openxmlformats.org/officeDocument/2006/relationships/image" Target="media/image290.png"/><Relationship Id="rId343" Type="http://schemas.openxmlformats.org/officeDocument/2006/relationships/image" Target="media/image291.png"/><Relationship Id="rId344" Type="http://schemas.openxmlformats.org/officeDocument/2006/relationships/image" Target="media/image292.png"/><Relationship Id="rId345" Type="http://schemas.openxmlformats.org/officeDocument/2006/relationships/image" Target="media/image293.png"/><Relationship Id="rId346" Type="http://schemas.openxmlformats.org/officeDocument/2006/relationships/image" Target="media/image294.png"/><Relationship Id="rId259" Type="http://schemas.openxmlformats.org/officeDocument/2006/relationships/hyperlink" Target="https://www.sec.gov/Archives/edgar/data/1850119/000110465921085744/tm2120666d1_ex3-1.htm" TargetMode="External"/><Relationship Id="rId260" Type="http://schemas.openxmlformats.org/officeDocument/2006/relationships/hyperlink" Target="https://www.sec.gov/Archives/edgar/data/1850119/000110465921080429/tm218551d10_ex4-1.htm" TargetMode="External"/><Relationship Id="rId261" Type="http://schemas.openxmlformats.org/officeDocument/2006/relationships/hyperlink" Target="https://www.sec.gov/Archives/edgar/data/1850119/000155837022003867/ipsc-20211231xex4d2.htm" TargetMode="External"/><Relationship Id="rId262" Type="http://schemas.openxmlformats.org/officeDocument/2006/relationships/hyperlink" Target="https://www.sec.gov/Archives/edgar/data/1850119/000110465921074278/tm218551d7_ex4-2.htm" TargetMode="External"/><Relationship Id="rId263" Type="http://schemas.openxmlformats.org/officeDocument/2006/relationships/hyperlink" Target="https://www.sec.gov/Archives/edgar/data/1850119/000110465921074278/tm218551d7_ex4-3.htm" TargetMode="External"/><Relationship Id="rId264" Type="http://schemas.openxmlformats.org/officeDocument/2006/relationships/hyperlink" Target="https://www.sec.gov/Archives/edgar/data/1850119/000110465921074278/tm218551d7_ex10-1.htm" TargetMode="External"/><Relationship Id="rId265" Type="http://schemas.openxmlformats.org/officeDocument/2006/relationships/hyperlink" Target="https://www.sec.gov/Archives/edgar/data/1850119/000110465921074278/tm218551d7_ex10-2.htm" TargetMode="External"/><Relationship Id="rId266" Type="http://schemas.openxmlformats.org/officeDocument/2006/relationships/hyperlink" Target="https://www.sec.gov/Archives/edgar/data/1850119/000110465921074278/tm218551d7_ex10-3.htm" TargetMode="External"/><Relationship Id="rId267" Type="http://schemas.openxmlformats.org/officeDocument/2006/relationships/hyperlink" Target="https://www.sec.gov/Archives/edgar/data/1850119/000110465921074278/tm218551d7_ex10-4.htm" TargetMode="External"/><Relationship Id="rId268" Type="http://schemas.openxmlformats.org/officeDocument/2006/relationships/hyperlink" Target="https://www.sec.gov/Archives/edgar/data/1850119/000110465921074278/tm218551d7_ex10-5.htm" TargetMode="External"/><Relationship Id="rId269" Type="http://schemas.openxmlformats.org/officeDocument/2006/relationships/hyperlink" Target="https://www.sec.gov/Archives/edgar/data/1850119/000110465921074278/tm218551d7_ex10-6.htm" TargetMode="External"/><Relationship Id="rId270" Type="http://schemas.openxmlformats.org/officeDocument/2006/relationships/hyperlink" Target="https://www.sec.gov/Archives/edgar/data/1850119/000110465921074278/tm218551d7_ex10-7.htm" TargetMode="External"/><Relationship Id="rId271" Type="http://schemas.openxmlformats.org/officeDocument/2006/relationships/hyperlink" Target="https://www.sec.gov/Archives/edgar/data/1850119/000110465921080429/tm218551d10_ex10-8.htm" TargetMode="External"/><Relationship Id="rId272" Type="http://schemas.openxmlformats.org/officeDocument/2006/relationships/hyperlink" Target="https://www.sec.gov/Archives/edgar/data/1850119/000110465921080429/tm218551d10_ex10-9.htm" TargetMode="External"/><Relationship Id="rId274" Type="http://schemas.openxmlformats.org/officeDocument/2006/relationships/hyperlink" Target="https://www.sec.gov/Archives/edgar/data/1850119/000110465921074278/tm218551d7_ex10-10.htm" TargetMode="External"/><Relationship Id="rId275" Type="http://schemas.openxmlformats.org/officeDocument/2006/relationships/hyperlink" Target="https://www.sec.gov/Archives/edgar/data/1850119/000110465921074278/tm218551d7_ex10-11.htm" TargetMode="External"/><Relationship Id="rId276" Type="http://schemas.openxmlformats.org/officeDocument/2006/relationships/hyperlink" Target="https://www.sec.gov/Archives/edgar/data/1850119/000110465921074278/tm218551d7_ex10-12.htm" TargetMode="External"/><Relationship Id="rId277" Type="http://schemas.openxmlformats.org/officeDocument/2006/relationships/hyperlink" Target="https://www.sec.gov/Archives/edgar/data/1850119/000110465921074278/tm218551d7_ex10-13.htm" TargetMode="External"/><Relationship Id="rId278" Type="http://schemas.openxmlformats.org/officeDocument/2006/relationships/hyperlink" Target="https://www.sec.gov/Archives/edgar/data/1850119/000110465921074278/tm218551d7_ex10-14.htm" TargetMode="External"/><Relationship Id="rId279" Type="http://schemas.openxmlformats.org/officeDocument/2006/relationships/hyperlink" Target="https://www.sec.gov/Archives/edgar/data/1850119/000110465921074278/tm218551d7_ex10-15.htm" TargetMode="External"/><Relationship Id="rId280" Type="http://schemas.openxmlformats.org/officeDocument/2006/relationships/hyperlink" Target="https://www.sec.gov/Archives/edgar/data/1850119/000110465921074278/tm218551d7_ex10-16.htm" TargetMode="External"/><Relationship Id="rId281" Type="http://schemas.openxmlformats.org/officeDocument/2006/relationships/hyperlink" Target="https://www.sec.gov/Archives/edgar/data/1850119/000110465921074278/tm218551d7_ex10-17.htm" TargetMode="External"/><Relationship Id="rId282" Type="http://schemas.openxmlformats.org/officeDocument/2006/relationships/hyperlink" Target="https://www.sec.gov/Archives/edgar/data/1850119/000110465921074278/tm218551d7_ex10-18.htm" TargetMode="External"/><Relationship Id="rId283" Type="http://schemas.openxmlformats.org/officeDocument/2006/relationships/hyperlink" Target="https://www.sec.gov/Archives/edgar/data/1850119/000110465921074278/tm218551d7_ex10-19.htm" TargetMode="External"/><Relationship Id="rId284" Type="http://schemas.openxmlformats.org/officeDocument/2006/relationships/hyperlink" Target="https://www.sec.gov/Archives/edgar/data/1850119/000155837022017287/ipsc-20220930xex10d1.htm" TargetMode="External"/><Relationship Id="rId285" Type="http://schemas.openxmlformats.org/officeDocument/2006/relationships/hyperlink" Target="https://www.sec.gov/Archives/edgar/data/1850119/000110465921074278/tm218551d7_ex10-20.htm" TargetMode="External"/><Relationship Id="rId286" Type="http://schemas.openxmlformats.org/officeDocument/2006/relationships/hyperlink" Target="https://www.sec.gov/Archives/edgar/data/1850119/000110465921074278/tm218551d7_ex10-21.htm" TargetMode="External"/><Relationship Id="rId287" Type="http://schemas.openxmlformats.org/officeDocument/2006/relationships/hyperlink" Target="https://www.sec.gov/Archives/edgar/data/1850119/000110465921074278/tm218551d7_ex10-22.htm" TargetMode="External"/><Relationship Id="rId288" Type="http://schemas.openxmlformats.org/officeDocument/2006/relationships/hyperlink" Target="https://www.sec.gov/Archives/edgar/data/1850119/000110465921074278/tm218551d7_ex10-23.htm" TargetMode="External"/><Relationship Id="rId289" Type="http://schemas.openxmlformats.org/officeDocument/2006/relationships/hyperlink" Target="https://www.sec.gov/Archives/edgar/data/1850119/000110465921074278/tm218551d7_ex10-24.htm" TargetMode="External"/><Relationship Id="rId290" Type="http://schemas.openxmlformats.org/officeDocument/2006/relationships/hyperlink" Target="https://www.sec.gov/Archives/edgar/data/1850119/000155837022003867/ipsc-20211231xex10d25.htm" TargetMode="External"/><Relationship Id="rId291" Type="http://schemas.openxmlformats.org/officeDocument/2006/relationships/hyperlink" Target="https://www.sec.gov/Archives/edgar/data/1850119/000110465921074278/tm218551d7_ex10-25.htm" TargetMode="External"/><Relationship Id="rId292" Type="http://schemas.openxmlformats.org/officeDocument/2006/relationships/hyperlink" Target="https://www.sec.gov/Archives/edgar/data/1850119/000110465921074278/tm218551d7_ex10-26.htm" TargetMode="External"/><Relationship Id="rId293" Type="http://schemas.openxmlformats.org/officeDocument/2006/relationships/hyperlink" Target="https://www.sec.gov/Archives/edgar/data/1850119/000155837022013181/ipsc-20220630xex10d1.htm" TargetMode="External"/><Relationship Id="rId294" Type="http://schemas.openxmlformats.org/officeDocument/2006/relationships/hyperlink" Target="https://www.sec.gov/Archives/edgar/data/1850119/000110465921074278/tm218551d7_ex10-27.htm" TargetMode="External"/><Relationship Id="rId295" Type="http://schemas.openxmlformats.org/officeDocument/2006/relationships/hyperlink" Target="https://www.sec.gov/Archives/edgar/data/1850119/000110465921074278/tm218551d7_ex10-28.htm" TargetMode="External"/><Relationship Id="rId296" Type="http://schemas.openxmlformats.org/officeDocument/2006/relationships/hyperlink" Target="https://www.sec.gov/Archives/edgar/data/1850119/000110465921074278/tm218551d7_ex10-29.htm" TargetMode="External"/><Relationship Id="rId297" Type="http://schemas.openxmlformats.org/officeDocument/2006/relationships/hyperlink" Target="https://www.sec.gov/Archives/edgar/data/1850119/000155837022003867/ipsc-20211231xex10d31.htm" TargetMode="External"/><Relationship Id="rId298" Type="http://schemas.openxmlformats.org/officeDocument/2006/relationships/hyperlink" Target="https://www.sec.gov/Archives/edgar/data/1850119/000110465921074278/tm218551d7_ex10-30.htm" TargetMode="External"/><Relationship Id="rId299" Type="http://schemas.openxmlformats.org/officeDocument/2006/relationships/hyperlink" Target="https://www.sec.gov/Archives/edgar/data/1850119/000110465921074278/tm218551d7_ex10-31.htm" TargetMode="External"/><Relationship Id="rId300" Type="http://schemas.openxmlformats.org/officeDocument/2006/relationships/hyperlink" Target="https://www.sec.gov/Archives/edgar/data/1850119/000110465921080429/tm218551d10_ex10-33.htm" TargetMode="External"/><Relationship Id="rId301" Type="http://schemas.openxmlformats.org/officeDocument/2006/relationships/hyperlink" Target="https://www.sec.gov/Archives/edgar/data/1850119/000110465921080429/tm218551d10_ex10-34.htm" TargetMode="External"/><Relationship Id="rId302" Type="http://schemas.openxmlformats.org/officeDocument/2006/relationships/hyperlink" Target="https://www.sec.gov/Archives/edgar/data/1850119/000110465921080429/tm218551d10_ex10-35.htm" TargetMode="External"/><Relationship Id="rId303" Type="http://schemas.openxmlformats.org/officeDocument/2006/relationships/hyperlink" Target="https://www.sec.gov/Archives/edgar/data/1850119/000110465922076807/tm2219477d2_ex1-2.htm" TargetMode="External"/><Relationship Id="rId304" Type="http://schemas.openxmlformats.org/officeDocument/2006/relationships/hyperlink" Target="https://www.sec.gov/Archives/edgar/data/1850119/000155837022003867/ipsc-2021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2023-03-16T07:40:24Z</dcterms:created>
  <dcterms:modified xsi:type="dcterms:W3CDTF">2023-03-16T07:40:24Z</dcterms:modified>
</cp:coreProperties>
</file>