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176530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53"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-202565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2"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88265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pacing w:after="0" w:line="245"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52" w:lineRule="exact"/>
        <w:rPr>
          <w:sz w:val="24"/>
          <w:szCs w:val="24"/>
          <w:color w:val="auto"/>
        </w:rPr>
      </w:pPr>
    </w:p>
    <w:p>
      <w:pPr>
        <w:ind w:left="370" w:hanging="370"/>
        <w:spacing w:after="0"/>
        <w:tabs>
          <w:tab w:leader="none" w:pos="3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5" w:lineRule="exact"/>
        <w:rPr>
          <w:sz w:val="24"/>
          <w:szCs w:val="24"/>
          <w:color w:val="auto"/>
        </w:rPr>
      </w:pPr>
    </w:p>
    <w:p>
      <w:pPr>
        <w:ind w:left="370" w:hanging="370"/>
        <w:spacing w:after="0"/>
        <w:tabs>
          <w:tab w:leader="none" w:pos="37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 w:lineRule="exact"/>
        <w:rPr>
          <w:rFonts w:ascii="MS PGothic" w:cs="MS PGothic" w:eastAsia="MS PGothic" w:hAnsi="MS PGothic"/>
          <w:sz w:val="16"/>
          <w:szCs w:val="16"/>
          <w:color w:val="auto"/>
          <w:highlight w:val="black"/>
        </w:rPr>
      </w:pPr>
    </w:p>
    <w:p>
      <w:pPr>
        <w:ind w:left="2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transition period from _______ to _______</w:t>
      </w:r>
    </w:p>
    <w:p>
      <w:pPr>
        <w:spacing w:after="0" w:line="55" w:lineRule="exact"/>
        <w:rPr>
          <w:rFonts w:ascii="MS PGothic" w:cs="MS PGothic" w:eastAsia="MS PGothic" w:hAnsi="MS PGothic"/>
          <w:sz w:val="16"/>
          <w:szCs w:val="16"/>
          <w:color w:val="auto"/>
          <w:highlight w:val="black"/>
        </w:rPr>
      </w:pPr>
    </w:p>
    <w:p>
      <w:pPr>
        <w:ind w:left="3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85"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Century Therapeutics, Inc.</w:t>
      </w:r>
    </w:p>
    <w:p>
      <w:pPr>
        <w:spacing w:after="0" w:line="4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60" w:lineRule="exact"/>
        <w:rPr>
          <w:sz w:val="24"/>
          <w:szCs w:val="24"/>
          <w:color w:val="auto"/>
        </w:rPr>
      </w:pPr>
    </w:p>
    <w:tbl>
      <w:tblPr>
        <w:tblLayout w:type="fixed"/>
        <w:tblInd w:w="1270" w:type="dxa"/>
        <w:tblCellMar>
          <w:top w:w="0" w:type="dxa"/>
          <w:left w:w="0" w:type="dxa"/>
          <w:bottom w:w="0" w:type="dxa"/>
          <w:right w:w="0" w:type="dxa"/>
        </w:tblCellMar>
      </w:tblP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Delaware</w:t>
            </w:r>
          </w:p>
        </w:tc>
        <w:tc>
          <w:tcPr>
            <w:tcW w:w="2880" w:type="dxa"/>
            <w:vAlign w:val="bottom"/>
          </w:tcPr>
          <w:p>
            <w:pPr>
              <w:jc w:val="right"/>
              <w:ind w:right="159"/>
              <w:spacing w:after="0"/>
              <w:rPr>
                <w:sz w:val="20"/>
                <w:szCs w:val="20"/>
                <w:color w:val="auto"/>
              </w:rPr>
            </w:pPr>
            <w:r>
              <w:rPr>
                <w:rFonts w:ascii="Arial" w:cs="Arial" w:eastAsia="Arial" w:hAnsi="Arial"/>
                <w:sz w:val="16"/>
                <w:szCs w:val="16"/>
                <w:b w:val="1"/>
                <w:bCs w:val="1"/>
                <w:color w:val="auto"/>
              </w:rPr>
              <w:t>84-2040295</w:t>
            </w:r>
          </w:p>
        </w:tc>
      </w:tr>
      <w:tr>
        <w:trPr>
          <w:trHeight w:val="189"/>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(State or other jurisdiction of</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(I.R.S. Employer</w:t>
            </w:r>
          </w:p>
        </w:tc>
      </w:tr>
      <w:tr>
        <w:trPr>
          <w:trHeight w:val="178"/>
        </w:trPr>
        <w:tc>
          <w:tcPr>
            <w:tcW w:w="4540" w:type="dxa"/>
            <w:vAlign w:val="bottom"/>
          </w:tcPr>
          <w:p>
            <w:pPr>
              <w:jc w:val="center"/>
              <w:ind w:right="1419"/>
              <w:spacing w:after="0" w:line="178" w:lineRule="exact"/>
              <w:rPr>
                <w:sz w:val="20"/>
                <w:szCs w:val="20"/>
                <w:color w:val="auto"/>
              </w:rPr>
            </w:pPr>
            <w:r>
              <w:rPr>
                <w:rFonts w:ascii="Arial" w:cs="Arial" w:eastAsia="Arial" w:hAnsi="Arial"/>
                <w:sz w:val="16"/>
                <w:szCs w:val="16"/>
                <w:b w:val="1"/>
                <w:bCs w:val="1"/>
                <w:color w:val="auto"/>
              </w:rPr>
              <w:t>incorporation or organization)</w:t>
            </w:r>
          </w:p>
        </w:tc>
        <w:tc>
          <w:tcPr>
            <w:tcW w:w="2880" w:type="dxa"/>
            <w:vAlign w:val="bottom"/>
          </w:tcPr>
          <w:p>
            <w:pPr>
              <w:jc w:val="center"/>
              <w:ind w:left="1439"/>
              <w:spacing w:after="0" w:line="178" w:lineRule="exact"/>
              <w:rPr>
                <w:sz w:val="20"/>
                <w:szCs w:val="20"/>
                <w:color w:val="auto"/>
              </w:rPr>
            </w:pPr>
            <w:r>
              <w:rPr>
                <w:rFonts w:ascii="Arial" w:cs="Arial" w:eastAsia="Arial" w:hAnsi="Arial"/>
                <w:sz w:val="16"/>
                <w:szCs w:val="16"/>
                <w:b w:val="1"/>
                <w:bCs w:val="1"/>
                <w:color w:val="auto"/>
              </w:rPr>
              <w:t>Identification No.)</w:t>
            </w:r>
          </w:p>
        </w:tc>
      </w:tr>
      <w:tr>
        <w:trPr>
          <w:trHeight w:val="200"/>
        </w:trPr>
        <w:tc>
          <w:tcPr>
            <w:tcW w:w="4540" w:type="dxa"/>
            <w:vAlign w:val="bottom"/>
          </w:tcPr>
          <w:p>
            <w:pPr>
              <w:jc w:val="center"/>
              <w:ind w:right="1439"/>
              <w:spacing w:after="0" w:line="200" w:lineRule="exact"/>
              <w:rPr>
                <w:sz w:val="20"/>
                <w:szCs w:val="20"/>
                <w:color w:val="auto"/>
              </w:rPr>
            </w:pPr>
            <w:r>
              <w:rPr>
                <w:rFonts w:ascii="Arial" w:cs="Arial" w:eastAsia="Arial" w:hAnsi="Arial"/>
                <w:sz w:val="16"/>
                <w:szCs w:val="16"/>
                <w:b w:val="1"/>
                <w:bCs w:val="1"/>
                <w:color w:val="auto"/>
                <w:w w:val="98"/>
              </w:rPr>
              <w:t>25 N 38</w:t>
            </w:r>
            <w:r>
              <w:rPr>
                <w:rFonts w:ascii="Arial" w:cs="Arial" w:eastAsia="Arial" w:hAnsi="Arial"/>
                <w:sz w:val="23"/>
                <w:szCs w:val="23"/>
                <w:b w:val="1"/>
                <w:bCs w:val="1"/>
                <w:color w:val="auto"/>
                <w:w w:val="98"/>
                <w:vertAlign w:val="superscript"/>
              </w:rPr>
              <w:t>th</w:t>
            </w:r>
            <w:r>
              <w:rPr>
                <w:rFonts w:ascii="Arial" w:cs="Arial" w:eastAsia="Arial" w:hAnsi="Arial"/>
                <w:sz w:val="16"/>
                <w:szCs w:val="16"/>
                <w:b w:val="1"/>
                <w:bCs w:val="1"/>
                <w:color w:val="auto"/>
                <w:w w:val="98"/>
              </w:rPr>
              <w:t xml:space="preserve"> Street, 11</w:t>
            </w:r>
            <w:r>
              <w:rPr>
                <w:rFonts w:ascii="Arial" w:cs="Arial" w:eastAsia="Arial" w:hAnsi="Arial"/>
                <w:sz w:val="23"/>
                <w:szCs w:val="23"/>
                <w:b w:val="1"/>
                <w:bCs w:val="1"/>
                <w:color w:val="auto"/>
                <w:w w:val="98"/>
                <w:vertAlign w:val="superscript"/>
              </w:rPr>
              <w:t>th</w:t>
            </w:r>
            <w:r>
              <w:rPr>
                <w:rFonts w:ascii="Arial" w:cs="Arial" w:eastAsia="Arial" w:hAnsi="Arial"/>
                <w:sz w:val="16"/>
                <w:szCs w:val="16"/>
                <w:b w:val="1"/>
                <w:bCs w:val="1"/>
                <w:color w:val="auto"/>
                <w:w w:val="98"/>
              </w:rPr>
              <w:t xml:space="preserve"> Floor</w:t>
            </w:r>
          </w:p>
        </w:tc>
        <w:tc>
          <w:tcPr>
            <w:tcW w:w="2880" w:type="dxa"/>
            <w:vAlign w:val="bottom"/>
          </w:tcPr>
          <w:p>
            <w:pPr>
              <w:spacing w:after="0"/>
              <w:rPr>
                <w:sz w:val="17"/>
                <w:szCs w:val="17"/>
                <w:color w:val="auto"/>
              </w:rPr>
            </w:pPr>
          </w:p>
        </w:tc>
      </w:t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Philadelphia, Pennsylvania</w:t>
            </w:r>
          </w:p>
        </w:tc>
        <w:tc>
          <w:tcPr>
            <w:tcW w:w="2880" w:type="dxa"/>
            <w:vAlign w:val="bottom"/>
          </w:tcPr>
          <w:p>
            <w:pPr>
              <w:jc w:val="right"/>
              <w:ind w:right="379"/>
              <w:spacing w:after="0"/>
              <w:rPr>
                <w:sz w:val="20"/>
                <w:szCs w:val="20"/>
                <w:color w:val="auto"/>
              </w:rPr>
            </w:pPr>
            <w:r>
              <w:rPr>
                <w:rFonts w:ascii="Arial" w:cs="Arial" w:eastAsia="Arial" w:hAnsi="Arial"/>
                <w:sz w:val="16"/>
                <w:szCs w:val="16"/>
                <w:b w:val="1"/>
                <w:bCs w:val="1"/>
                <w:color w:val="auto"/>
              </w:rPr>
              <w:t>19104</w:t>
            </w:r>
          </w:p>
        </w:tc>
      </w:tr>
      <w:tr>
        <w:trPr>
          <w:trHeight w:val="227"/>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(Address of principal executive offices)</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(Zip Code)</w:t>
            </w:r>
          </w:p>
        </w:tc>
      </w:tr>
    </w:tbl>
    <w:p>
      <w:pPr>
        <w:spacing w:after="0" w:line="3"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(267) 817-5790</w:t>
      </w:r>
    </w:p>
    <w:p>
      <w:pPr>
        <w:spacing w:after="0" w:line="2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0"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Not applicable</w:t>
      </w:r>
    </w:p>
    <w:p>
      <w:pPr>
        <w:spacing w:after="0" w:line="8" w:lineRule="exact"/>
        <w:rPr>
          <w:sz w:val="24"/>
          <w:szCs w:val="24"/>
          <w:color w:val="auto"/>
        </w:rPr>
      </w:pPr>
    </w:p>
    <w:p>
      <w:pPr>
        <w:ind w:left="265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56"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00" w:type="dxa"/>
            <w:vAlign w:val="bottom"/>
            <w:vMerge w:val="restart"/>
          </w:tcPr>
          <w:p>
            <w:pPr>
              <w:spacing w:after="0"/>
              <w:rPr>
                <w:sz w:val="12"/>
                <w:szCs w:val="12"/>
                <w:color w:val="auto"/>
              </w:rPr>
            </w:pPr>
          </w:p>
        </w:tc>
        <w:tc>
          <w:tcPr>
            <w:tcW w:w="3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Trading</w:t>
            </w:r>
          </w:p>
        </w:tc>
        <w:tc>
          <w:tcPr>
            <w:tcW w:w="3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7"/>
        </w:trPr>
        <w:tc>
          <w:tcPr>
            <w:tcW w:w="33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200" w:type="dxa"/>
            <w:vAlign w:val="bottom"/>
          </w:tcPr>
          <w:p>
            <w:pPr>
              <w:spacing w:after="0"/>
              <w:rPr>
                <w:sz w:val="13"/>
                <w:szCs w:val="13"/>
                <w:color w:val="auto"/>
              </w:rPr>
            </w:pPr>
          </w:p>
        </w:tc>
        <w:tc>
          <w:tcPr>
            <w:tcW w:w="3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38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200" w:type="dxa"/>
            <w:vAlign w:val="bottom"/>
          </w:tcPr>
          <w:p>
            <w:pPr>
              <w:spacing w:after="0"/>
              <w:rPr>
                <w:sz w:val="17"/>
                <w:szCs w:val="17"/>
                <w:color w:val="auto"/>
              </w:rPr>
            </w:pPr>
          </w:p>
        </w:tc>
        <w:tc>
          <w:tcPr>
            <w:tcW w:w="358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IPSC</w:t>
            </w:r>
          </w:p>
        </w:tc>
        <w:tc>
          <w:tcPr>
            <w:tcW w:w="306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left="10" w:right="4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left="10" w:right="36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left="10" w:right="10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99"/>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920"/>
              <w:spacing w:after="0"/>
              <w:rPr>
                <w:sz w:val="20"/>
                <w:szCs w:val="20"/>
                <w:color w:val="auto"/>
              </w:rPr>
            </w:pPr>
            <w:r>
              <w:rPr>
                <w:rFonts w:ascii="Arial" w:cs="Arial" w:eastAsia="Arial" w:hAnsi="Arial"/>
                <w:sz w:val="16"/>
                <w:szCs w:val="16"/>
                <w:color w:val="auto"/>
              </w:rPr>
              <w:t>Accelerated filer</w:t>
            </w:r>
          </w:p>
        </w:tc>
        <w:tc>
          <w:tcPr>
            <w:tcW w:w="5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gridSpan w:val="2"/>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72"/>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10" w:lineRule="exact"/>
        <w:rPr>
          <w:sz w:val="24"/>
          <w:szCs w:val="24"/>
          <w:color w:val="auto"/>
        </w:rPr>
      </w:pPr>
    </w:p>
    <w:p>
      <w:pPr>
        <w:ind w:left="10" w:right="30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10" w:right="1140"/>
        <w:spacing w:after="0" w:line="24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 2023 the registrant had 59,834,968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484505</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81280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7"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251"/>
        </w:trPr>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20" w:type="dxa"/>
            <w:vAlign w:val="bottom"/>
            <w:gridSpan w:val="11"/>
          </w:tcPr>
          <w:p>
            <w:pPr>
              <w:ind w:left="26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900" w:type="dxa"/>
            <w:vAlign w:val="bottom"/>
            <w:gridSpan w:val="6"/>
            <w:vMerge w:val="restart"/>
          </w:tcPr>
          <w:p>
            <w:pPr>
              <w:spacing w:after="0"/>
              <w:rPr>
                <w:sz w:val="20"/>
                <w:szCs w:val="20"/>
                <w:color w:val="auto"/>
              </w:rPr>
            </w:pPr>
            <w:r>
              <w:rPr>
                <w:rFonts w:ascii="Arial" w:cs="Arial" w:eastAsia="Arial" w:hAnsi="Arial"/>
                <w:sz w:val="18"/>
                <w:szCs w:val="18"/>
                <w:b w:val="1"/>
                <w:bCs w:val="1"/>
                <w:color w:val="0000EE"/>
              </w:rPr>
              <w:t>PART I.</w:t>
            </w:r>
          </w:p>
        </w:tc>
        <w:tc>
          <w:tcPr>
            <w:tcW w:w="7360" w:type="dxa"/>
            <w:vAlign w:val="bottom"/>
            <w:gridSpan w:val="21"/>
            <w:vMerge w:val="restart"/>
          </w:tcPr>
          <w:p>
            <w:pPr>
              <w:spacing w:after="0"/>
              <w:rPr>
                <w:sz w:val="20"/>
                <w:szCs w:val="20"/>
                <w:color w:val="auto"/>
              </w:rPr>
            </w:pPr>
            <w:r>
              <w:rPr>
                <w:rFonts w:ascii="Arial" w:cs="Arial" w:eastAsia="Arial" w:hAnsi="Arial"/>
                <w:sz w:val="18"/>
                <w:szCs w:val="18"/>
                <w:b w:val="1"/>
                <w:bCs w:val="1"/>
                <w:color w:val="0000EE"/>
              </w:rPr>
              <w:t>FINANCIAL INFORMATION</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gridSpan w:val="6"/>
            <w:vMerge w:val="continue"/>
          </w:tcPr>
          <w:p>
            <w:pPr>
              <w:spacing w:after="0"/>
              <w:rPr>
                <w:sz w:val="15"/>
                <w:szCs w:val="15"/>
                <w:color w:val="auto"/>
              </w:rPr>
            </w:pPr>
          </w:p>
        </w:tc>
        <w:tc>
          <w:tcPr>
            <w:tcW w:w="7360" w:type="dxa"/>
            <w:vAlign w:val="bottom"/>
            <w:gridSpan w:val="21"/>
            <w:vMerge w:val="continue"/>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1.</w:t>
            </w:r>
          </w:p>
        </w:tc>
        <w:tc>
          <w:tcPr>
            <w:tcW w:w="60" w:type="dxa"/>
            <w:vAlign w:val="bottom"/>
            <w:tcBorders>
              <w:top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22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Financial Statements:</w:t>
            </w:r>
          </w:p>
        </w:tc>
        <w:tc>
          <w:tcPr>
            <w:tcW w:w="5100" w:type="dxa"/>
            <w:vAlign w:val="bottom"/>
            <w:gridSpan w:val="1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Consolidated Balance Sheets as of September 30, 2023 (unaudited) and December 31,</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2022</w:t>
            </w:r>
          </w:p>
        </w:tc>
        <w:tc>
          <w:tcPr>
            <w:tcW w:w="2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1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4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Consolidated Statements of Operations and Comprehensive Loss for the three and nine</w:t>
            </w:r>
          </w:p>
        </w:tc>
        <w:tc>
          <w:tcPr>
            <w:tcW w:w="320" w:type="dxa"/>
            <w:vAlign w:val="bottom"/>
            <w:gridSpan w:val="3"/>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360" w:type="dxa"/>
            <w:vAlign w:val="bottom"/>
            <w:gridSpan w:val="21"/>
          </w:tcPr>
          <w:p>
            <w:pPr>
              <w:spacing w:after="0" w:line="182" w:lineRule="exact"/>
              <w:rPr>
                <w:sz w:val="20"/>
                <w:szCs w:val="20"/>
                <w:color w:val="auto"/>
              </w:rPr>
            </w:pPr>
            <w:r>
              <w:rPr>
                <w:rFonts w:ascii="Arial" w:cs="Arial" w:eastAsia="Arial" w:hAnsi="Arial"/>
                <w:sz w:val="18"/>
                <w:szCs w:val="18"/>
                <w:color w:val="0000EE"/>
              </w:rPr>
              <w:t>months ended September 30, 2023 and 2022 (unaudited)</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Consolidated Statements of Changes in Stockholders’ Equity for the three and nine months</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4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ended September 30, 2023 and 2022 (unaudited)</w:t>
            </w:r>
          </w:p>
        </w:tc>
        <w:tc>
          <w:tcPr>
            <w:tcW w:w="3300" w:type="dxa"/>
            <w:vAlign w:val="bottom"/>
            <w:tcBorders>
              <w:top w:val="single" w:sz="8" w:color="0000EE"/>
            </w:tcBorders>
            <w:gridSpan w:val="9"/>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2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9"/>
              </w:rPr>
              <w:t>Consolidated Statements of Cash Flows for the nine months ended September 30, 2023</w:t>
            </w:r>
          </w:p>
        </w:tc>
        <w:tc>
          <w:tcPr>
            <w:tcW w:w="340" w:type="dxa"/>
            <w:vAlign w:val="bottom"/>
            <w:gridSpan w:val="4"/>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360" w:type="dxa"/>
            <w:vAlign w:val="bottom"/>
            <w:gridSpan w:val="21"/>
          </w:tcPr>
          <w:p>
            <w:pPr>
              <w:spacing w:after="0" w:line="182" w:lineRule="exact"/>
              <w:rPr>
                <w:sz w:val="20"/>
                <w:szCs w:val="20"/>
                <w:color w:val="auto"/>
              </w:rPr>
            </w:pPr>
            <w:r>
              <w:rPr>
                <w:rFonts w:ascii="Arial" w:cs="Arial" w:eastAsia="Arial" w:hAnsi="Arial"/>
                <w:sz w:val="18"/>
                <w:szCs w:val="18"/>
                <w:color w:val="0000EE"/>
              </w:rPr>
              <w:t>and 2022 (unaudited)</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Notes to Unaudited Consolidated Financial Statements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2.</w:t>
            </w:r>
          </w:p>
        </w:tc>
        <w:tc>
          <w:tcPr>
            <w:tcW w:w="340" w:type="dxa"/>
            <w:vAlign w:val="bottom"/>
            <w:gridSpan w:val="5"/>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3.</w:t>
            </w:r>
          </w:p>
        </w:tc>
        <w:tc>
          <w:tcPr>
            <w:tcW w:w="340" w:type="dxa"/>
            <w:vAlign w:val="bottom"/>
            <w:gridSpan w:val="5"/>
          </w:tcPr>
          <w:p>
            <w:pPr>
              <w:spacing w:after="0"/>
              <w:rPr>
                <w:sz w:val="17"/>
                <w:szCs w:val="17"/>
                <w:color w:val="auto"/>
              </w:rPr>
            </w:pPr>
          </w:p>
        </w:tc>
        <w:tc>
          <w:tcPr>
            <w:tcW w:w="706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300" w:type="dxa"/>
            <w:vAlign w:val="bottom"/>
            <w:gridSpan w:val="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4.</w:t>
            </w:r>
          </w:p>
        </w:tc>
        <w:tc>
          <w:tcPr>
            <w:tcW w:w="340" w:type="dxa"/>
            <w:vAlign w:val="bottom"/>
            <w:gridSpan w:val="5"/>
          </w:tcPr>
          <w:p>
            <w:pPr>
              <w:spacing w:after="0"/>
              <w:rPr>
                <w:sz w:val="17"/>
                <w:szCs w:val="17"/>
                <w:color w:val="auto"/>
              </w:rPr>
            </w:pPr>
          </w:p>
        </w:tc>
        <w:tc>
          <w:tcPr>
            <w:tcW w:w="470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Controls and Procedures</w:t>
            </w:r>
          </w:p>
        </w:tc>
        <w:tc>
          <w:tcPr>
            <w:tcW w:w="2660" w:type="dxa"/>
            <w:vAlign w:val="bottom"/>
            <w:gridSpan w:val="7"/>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II.</w:t>
            </w:r>
          </w:p>
        </w:tc>
        <w:tc>
          <w:tcPr>
            <w:tcW w:w="200" w:type="dxa"/>
            <w:vAlign w:val="bottom"/>
            <w:gridSpan w:val="2"/>
          </w:tcPr>
          <w:p>
            <w:pPr>
              <w:spacing w:after="0"/>
              <w:rPr>
                <w:sz w:val="24"/>
                <w:szCs w:val="24"/>
                <w:color w:val="auto"/>
              </w:rPr>
            </w:pPr>
          </w:p>
        </w:tc>
        <w:tc>
          <w:tcPr>
            <w:tcW w:w="19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9"/>
              </w:rPr>
              <w:t>OTHER INFORMATION</w:t>
            </w:r>
          </w:p>
        </w:tc>
        <w:tc>
          <w:tcPr>
            <w:tcW w:w="5380" w:type="dxa"/>
            <w:vAlign w:val="bottom"/>
            <w:gridSpan w:val="13"/>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1.</w:t>
            </w:r>
          </w:p>
        </w:tc>
        <w:tc>
          <w:tcPr>
            <w:tcW w:w="340" w:type="dxa"/>
            <w:vAlign w:val="bottom"/>
            <w:gridSpan w:val="5"/>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Legal Proceedings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8"/>
              </w:rPr>
              <w:t>Item 1A.</w:t>
            </w:r>
          </w:p>
        </w:tc>
        <w:tc>
          <w:tcPr>
            <w:tcW w:w="220" w:type="dxa"/>
            <w:vAlign w:val="bottom"/>
            <w:gridSpan w:val="3"/>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Risk Factors</w:t>
            </w:r>
          </w:p>
        </w:tc>
        <w:tc>
          <w:tcPr>
            <w:tcW w:w="6360" w:type="dxa"/>
            <w:vAlign w:val="bottom"/>
            <w:gridSpan w:val="18"/>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2.</w:t>
            </w:r>
          </w:p>
        </w:tc>
        <w:tc>
          <w:tcPr>
            <w:tcW w:w="340" w:type="dxa"/>
            <w:vAlign w:val="bottom"/>
            <w:gridSpan w:val="5"/>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3.</w:t>
            </w:r>
          </w:p>
        </w:tc>
        <w:tc>
          <w:tcPr>
            <w:tcW w:w="340" w:type="dxa"/>
            <w:vAlign w:val="bottom"/>
            <w:gridSpan w:val="5"/>
          </w:tcPr>
          <w:p>
            <w:pPr>
              <w:spacing w:after="0"/>
              <w:rPr>
                <w:sz w:val="17"/>
                <w:szCs w:val="17"/>
                <w:color w:val="auto"/>
              </w:rPr>
            </w:pPr>
          </w:p>
        </w:tc>
        <w:tc>
          <w:tcPr>
            <w:tcW w:w="484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2520" w:type="dxa"/>
            <w:vAlign w:val="bottom"/>
            <w:gridSpan w:val="6"/>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4.</w:t>
            </w:r>
          </w:p>
        </w:tc>
        <w:tc>
          <w:tcPr>
            <w:tcW w:w="340" w:type="dxa"/>
            <w:vAlign w:val="bottom"/>
            <w:gridSpan w:val="5"/>
          </w:tcPr>
          <w:p>
            <w:pPr>
              <w:spacing w:after="0"/>
              <w:rPr>
                <w:sz w:val="17"/>
                <w:szCs w:val="17"/>
                <w:color w:val="auto"/>
              </w:rPr>
            </w:pPr>
          </w:p>
        </w:tc>
        <w:tc>
          <w:tcPr>
            <w:tcW w:w="254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Mine Safety Disclosures</w:t>
            </w:r>
          </w:p>
        </w:tc>
        <w:tc>
          <w:tcPr>
            <w:tcW w:w="4820" w:type="dxa"/>
            <w:vAlign w:val="bottom"/>
            <w:gridSpan w:val="11"/>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8"/>
              </w:rPr>
              <w:t>Item 5.</w:t>
            </w:r>
          </w:p>
        </w:tc>
        <w:tc>
          <w:tcPr>
            <w:tcW w:w="340" w:type="dxa"/>
            <w:vAlign w:val="bottom"/>
            <w:gridSpan w:val="5"/>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17"/>
                <w:szCs w:val="17"/>
                <w:color w:val="auto"/>
              </w:rPr>
            </w:pPr>
          </w:p>
        </w:tc>
        <w:tc>
          <w:tcPr>
            <w:tcW w:w="5440" w:type="dxa"/>
            <w:vAlign w:val="bottom"/>
            <w:gridSpan w:val="14"/>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6.</w:t>
            </w:r>
          </w:p>
        </w:tc>
        <w:tc>
          <w:tcPr>
            <w:tcW w:w="340" w:type="dxa"/>
            <w:vAlign w:val="bottom"/>
            <w:gridSpan w:val="5"/>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Exhibits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6"/>
          </w:tcPr>
          <w:p>
            <w:pPr>
              <w:spacing w:after="0" w:line="196" w:lineRule="exact"/>
              <w:rPr>
                <w:sz w:val="20"/>
                <w:szCs w:val="20"/>
                <w:color w:val="auto"/>
              </w:rPr>
            </w:pPr>
            <w:r>
              <w:rPr>
                <w:rFonts w:ascii="Arial" w:cs="Arial" w:eastAsia="Arial" w:hAnsi="Arial"/>
                <w:sz w:val="18"/>
                <w:szCs w:val="18"/>
                <w:color w:val="0000EE"/>
              </w:rPr>
              <w:t>Signatures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This Quarterly Report on Form 10-Q and the documents incorporated by reference herein contain forward-looking statements that involve substantial risks and uncertainties. All statements, other than statements of historical facts, included in this Quarterly Report on Form 10-Q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53"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59" w:lineRule="exact"/>
        <w:rPr>
          <w:sz w:val="20"/>
          <w:szCs w:val="20"/>
          <w:color w:val="auto"/>
        </w:rPr>
      </w:pPr>
    </w:p>
    <w:p>
      <w:pPr>
        <w:ind w:left="720" w:right="11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32" w:lineRule="exact"/>
        <w:rPr>
          <w:rFonts w:ascii="Arial" w:cs="Arial" w:eastAsia="Arial" w:hAnsi="Arial"/>
          <w:sz w:val="18"/>
          <w:szCs w:val="18"/>
          <w:color w:val="auto"/>
        </w:rPr>
      </w:pPr>
    </w:p>
    <w:p>
      <w:pPr>
        <w:ind w:left="720" w:right="31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preclinical and early clinical nature of our business and our ability to successfully advance our current and future product candidates through development activities, preclinical studies, and clinical trials;</w:t>
      </w:r>
    </w:p>
    <w:p>
      <w:pPr>
        <w:spacing w:after="0" w:line="157" w:lineRule="exact"/>
        <w:rPr>
          <w:rFonts w:ascii="Arial" w:cs="Arial" w:eastAsia="Arial" w:hAnsi="Arial"/>
          <w:sz w:val="18"/>
          <w:szCs w:val="18"/>
          <w:color w:val="auto"/>
        </w:rPr>
      </w:pPr>
    </w:p>
    <w:p>
      <w:pPr>
        <w:ind w:left="720" w:right="69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32" w:lineRule="exact"/>
        <w:rPr>
          <w:rFonts w:ascii="Arial" w:cs="Arial" w:eastAsia="Arial" w:hAnsi="Arial"/>
          <w:sz w:val="18"/>
          <w:szCs w:val="18"/>
          <w:color w:val="auto"/>
        </w:rPr>
      </w:pPr>
    </w:p>
    <w:p>
      <w:pPr>
        <w:ind w:left="720" w:right="53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32"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lead product candidate, CNTY-101;</w:t>
      </w:r>
    </w:p>
    <w:p>
      <w:pPr>
        <w:spacing w:after="0" w:line="198" w:lineRule="exact"/>
        <w:rPr>
          <w:rFonts w:ascii="Arial" w:cs="Arial" w:eastAsia="Arial" w:hAnsi="Arial"/>
          <w:sz w:val="18"/>
          <w:szCs w:val="18"/>
          <w:color w:val="auto"/>
        </w:rPr>
      </w:pPr>
    </w:p>
    <w:p>
      <w:pPr>
        <w:ind w:left="720" w:right="11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novelty of our approach to immuno-oncology treatment of cancer, utilizing iPSC-derived natural killer cells, or iNK cells, and iPSC-derived T cells, or iT cells, and the challenges we will face due to the novel nature of such technology;</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184" w:lineRule="exact"/>
        <w:rPr>
          <w:rFonts w:ascii="Arial" w:cs="Arial" w:eastAsia="Arial" w:hAnsi="Arial"/>
          <w:sz w:val="18"/>
          <w:szCs w:val="18"/>
          <w:color w:val="auto"/>
        </w:rPr>
      </w:pPr>
    </w:p>
    <w:p>
      <w:pPr>
        <w:ind w:left="720" w:right="7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157" w:lineRule="exact"/>
        <w:rPr>
          <w:rFonts w:ascii="Arial" w:cs="Arial" w:eastAsia="Arial" w:hAnsi="Arial"/>
          <w:sz w:val="18"/>
          <w:szCs w:val="18"/>
          <w:color w:val="auto"/>
        </w:rPr>
      </w:pPr>
    </w:p>
    <w:p>
      <w:pPr>
        <w:ind w:left="720" w:right="21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future clinical trials;</w:t>
      </w:r>
    </w:p>
    <w:p>
      <w:pPr>
        <w:spacing w:after="0" w:line="132"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future investigational new drug, or IND, applications and the likelihood of, and our ability to obtain and maintain, regulatory clearance of such IND applications for our product candidates;</w:t>
      </w:r>
    </w:p>
    <w:p>
      <w:pPr>
        <w:spacing w:after="0" w:line="132" w:lineRule="exact"/>
        <w:rPr>
          <w:rFonts w:ascii="Arial" w:cs="Arial" w:eastAsia="Arial" w:hAnsi="Arial"/>
          <w:sz w:val="18"/>
          <w:szCs w:val="18"/>
          <w:color w:val="auto"/>
        </w:rPr>
      </w:pPr>
    </w:p>
    <w:p>
      <w:pPr>
        <w:ind w:left="720" w:right="25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45" w:lineRule="exact"/>
        <w:rPr>
          <w:rFonts w:ascii="Arial" w:cs="Arial" w:eastAsia="Arial" w:hAnsi="Arial"/>
          <w:sz w:val="18"/>
          <w:szCs w:val="18"/>
          <w:color w:val="auto"/>
        </w:rPr>
      </w:pPr>
    </w:p>
    <w:p>
      <w:pPr>
        <w:jc w:val="both"/>
        <w:ind w:left="720" w:right="15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3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Bristol-Myers Squibb Company, or Bristol-Myers Squibb, in connection with the furtherance of our collaboration programs;</w:t>
      </w:r>
    </w:p>
    <w:p>
      <w:pPr>
        <w:spacing w:after="0" w:line="145" w:lineRule="exact"/>
        <w:rPr>
          <w:rFonts w:ascii="Arial" w:cs="Arial" w:eastAsia="Arial" w:hAnsi="Arial"/>
          <w:sz w:val="18"/>
          <w:szCs w:val="18"/>
          <w:color w:val="auto"/>
        </w:rPr>
      </w:pPr>
    </w:p>
    <w:p>
      <w:pPr>
        <w:ind w:left="720" w:right="399" w:hanging="319"/>
        <w:spacing w:after="0" w:line="24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143" w:lineRule="exact"/>
        <w:rPr>
          <w:rFonts w:ascii="Arial" w:cs="Arial" w:eastAsia="Arial" w:hAnsi="Arial"/>
          <w:sz w:val="18"/>
          <w:szCs w:val="18"/>
          <w:color w:val="auto"/>
        </w:rPr>
      </w:pPr>
    </w:p>
    <w:p>
      <w:pPr>
        <w:ind w:left="720" w:right="137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32" w:lineRule="exact"/>
        <w:rPr>
          <w:rFonts w:ascii="Arial" w:cs="Arial" w:eastAsia="Arial" w:hAnsi="Arial"/>
          <w:sz w:val="18"/>
          <w:szCs w:val="18"/>
          <w:color w:val="auto"/>
        </w:rPr>
      </w:pPr>
    </w:p>
    <w:p>
      <w:pPr>
        <w:ind w:left="720" w:right="45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public opinion and scrutiny of cell-based immuno-oncology therapies for treating cancer and its potential impact on public perception of our company and product candidates;</w:t>
      </w:r>
    </w:p>
    <w:p>
      <w:pPr>
        <w:spacing w:after="0" w:line="145" w:lineRule="exact"/>
        <w:rPr>
          <w:rFonts w:ascii="Arial" w:cs="Arial" w:eastAsia="Arial" w:hAnsi="Arial"/>
          <w:sz w:val="18"/>
          <w:szCs w:val="18"/>
          <w:color w:val="auto"/>
        </w:rPr>
      </w:pPr>
    </w:p>
    <w:p>
      <w:pPr>
        <w:ind w:left="720" w:right="53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32" w:lineRule="exact"/>
        <w:rPr>
          <w:rFonts w:ascii="Arial" w:cs="Arial" w:eastAsia="Arial" w:hAnsi="Arial"/>
          <w:sz w:val="18"/>
          <w:szCs w:val="18"/>
          <w:color w:val="auto"/>
        </w:rPr>
      </w:pPr>
    </w:p>
    <w:p>
      <w:pPr>
        <w:ind w:left="720" w:right="31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32" w:lineRule="exact"/>
        <w:rPr>
          <w:rFonts w:ascii="Arial" w:cs="Arial" w:eastAsia="Arial" w:hAnsi="Arial"/>
          <w:sz w:val="18"/>
          <w:szCs w:val="18"/>
          <w:color w:val="auto"/>
        </w:rPr>
      </w:pPr>
    </w:p>
    <w:p>
      <w:pPr>
        <w:ind w:left="720" w:right="49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45"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184" w:lineRule="exact"/>
        <w:rPr>
          <w:rFonts w:ascii="Arial" w:cs="Arial" w:eastAsia="Arial" w:hAnsi="Arial"/>
          <w:sz w:val="18"/>
          <w:szCs w:val="18"/>
          <w:color w:val="auto"/>
        </w:rPr>
      </w:pPr>
    </w:p>
    <w:p>
      <w:pPr>
        <w:ind w:left="720" w:right="179" w:hanging="319"/>
        <w:spacing w:after="0" w:line="24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47"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198" w:lineRule="exact"/>
        <w:rPr>
          <w:rFonts w:ascii="Arial" w:cs="Arial" w:eastAsia="Arial" w:hAnsi="Arial"/>
          <w:sz w:val="18"/>
          <w:szCs w:val="18"/>
          <w:color w:val="auto"/>
        </w:rPr>
      </w:pPr>
    </w:p>
    <w:p>
      <w:pPr>
        <w:ind w:left="720" w:right="899" w:hanging="319"/>
        <w:spacing w:after="0" w:line="28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volatility of capital markets and other macroeconomic factors, including due to inflationary pressures, banking instability geopolitical tensions or the outbreak of hostilities or war;</w:t>
      </w:r>
    </w:p>
    <w:p>
      <w:pPr>
        <w:spacing w:after="0" w:line="109" w:lineRule="exact"/>
        <w:rPr>
          <w:rFonts w:ascii="Arial" w:cs="Arial" w:eastAsia="Arial" w:hAnsi="Arial"/>
          <w:sz w:val="17"/>
          <w:szCs w:val="17"/>
          <w:color w:val="auto"/>
        </w:rPr>
      </w:pPr>
    </w:p>
    <w:p>
      <w:pPr>
        <w:jc w:val="both"/>
        <w:ind w:left="720" w:right="119" w:hanging="319"/>
        <w:spacing w:after="0" w:line="24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the COVID-19 pandemic, or any other pandemic or global health crises may impact our business, including development activities, preclinical studies, clinical trials, supply chain and labor force;</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98" w:lineRule="exact"/>
        <w:rPr>
          <w:rFonts w:ascii="Arial" w:cs="Arial" w:eastAsia="Arial" w:hAnsi="Arial"/>
          <w:sz w:val="18"/>
          <w:szCs w:val="18"/>
          <w:color w:val="auto"/>
        </w:rPr>
      </w:pPr>
    </w:p>
    <w:p>
      <w:pPr>
        <w:ind w:left="720" w:right="25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the caption “Risk factors” in our Annual Report on Form 10-K for the year ended December 31, 2022.</w:t>
      </w:r>
    </w:p>
    <w:p>
      <w:pPr>
        <w:spacing w:after="0" w:line="13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 Item 1A of our Annual Report on Form 10-K for the year ended December 31, 2022 for a discussion of important factors that may cause our actual results to differ materially from those expressed or implied by our forward-looking statements. Furthermore, if our forward-looking statements prove to be inaccurate, the inaccuracy may be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59"/>
        <w:spacing w:after="0" w:line="260" w:lineRule="auto"/>
        <w:rPr>
          <w:sz w:val="20"/>
          <w:szCs w:val="20"/>
          <w:color w:val="auto"/>
        </w:rPr>
      </w:pPr>
      <w:r>
        <w:rPr>
          <w:rFonts w:ascii="Arial" w:cs="Arial" w:eastAsia="Arial" w:hAnsi="Arial"/>
          <w:sz w:val="18"/>
          <w:szCs w:val="18"/>
          <w:color w:val="auto"/>
        </w:rPr>
        <w:t>material. Except as required by law, we undertake no obligation to publicly update any forward-looking statements, whether as a result of new information, future events or otherwise.</w:t>
      </w:r>
    </w:p>
    <w:p>
      <w:pPr>
        <w:spacing w:after="0" w:line="14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or the Securities Act, and Section 21E of the Securities Exchange Act of 1934,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I—FINANCIAL INFORMATION</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6"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CONSOLIDATED BALANCE SHEETS</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amounts)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74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color w:val="auto"/>
              </w:rPr>
              <w:t>September 30, 2023</w:t>
            </w:r>
          </w:p>
        </w:tc>
        <w:tc>
          <w:tcPr>
            <w:tcW w:w="16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color w:val="auto"/>
              </w:rPr>
              <w:t>December 31, 2022</w:t>
            </w:r>
          </w:p>
        </w:tc>
      </w:tr>
      <w:tr>
        <w:trPr>
          <w:trHeight w:val="167"/>
        </w:trPr>
        <w:tc>
          <w:tcPr>
            <w:tcW w:w="2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28"/>
        </w:trPr>
        <w:tc>
          <w:tcPr>
            <w:tcW w:w="27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Assets</w:t>
            </w:r>
          </w:p>
        </w:tc>
        <w:tc>
          <w:tcPr>
            <w:tcW w:w="2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assets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2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55,307</w:t>
            </w:r>
          </w:p>
        </w:tc>
        <w:tc>
          <w:tcPr>
            <w:tcW w:w="26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84,265</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Short-term investments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114,198</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231,233</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Escrow deposits, current</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220</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2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4,198</w:t>
            </w:r>
          </w:p>
        </w:tc>
        <w:tc>
          <w:tcPr>
            <w:tcW w:w="2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4,003</w:t>
            </w:r>
          </w:p>
        </w:tc>
        <w:tc>
          <w:tcPr>
            <w:tcW w:w="280" w:type="dxa"/>
            <w:vAlign w:val="bottom"/>
            <w:shd w:val="clear" w:color="auto" w:fill="CCEEFF"/>
          </w:tcPr>
          <w:p>
            <w:pPr>
              <w:spacing w:after="0"/>
              <w:rPr>
                <w:sz w:val="11"/>
                <w:szCs w:val="11"/>
                <w:color w:val="auto"/>
              </w:rPr>
            </w:pPr>
          </w:p>
        </w:tc>
      </w:tr>
      <w:tr>
        <w:trPr>
          <w:trHeight w:val="128"/>
        </w:trPr>
        <w:tc>
          <w:tcPr>
            <w:tcW w:w="2740" w:type="dxa"/>
            <w:vAlign w:val="bottom"/>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29" w:lineRule="exact"/>
              <w:rPr>
                <w:sz w:val="20"/>
                <w:szCs w:val="20"/>
                <w:color w:val="auto"/>
              </w:rPr>
            </w:pPr>
            <w:r>
              <w:rPr>
                <w:rFonts w:ascii="Arial" w:cs="Arial" w:eastAsia="Arial" w:hAnsi="Arial"/>
                <w:sz w:val="13"/>
                <w:szCs w:val="13"/>
                <w:color w:val="auto"/>
              </w:rPr>
              <w:t>173,703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29" w:lineRule="exact"/>
              <w:rPr>
                <w:sz w:val="20"/>
                <w:szCs w:val="20"/>
                <w:color w:val="auto"/>
              </w:rPr>
            </w:pPr>
            <w:r>
              <w:rPr>
                <w:rFonts w:ascii="Arial" w:cs="Arial" w:eastAsia="Arial" w:hAnsi="Arial"/>
                <w:sz w:val="13"/>
                <w:szCs w:val="13"/>
                <w:color w:val="auto"/>
              </w:rPr>
              <w:t>319,721</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Property and equipment, net</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81,993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82,785</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lease right-of-use assets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24,551</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28,945</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Restricted cash</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1,979</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1,979</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Long-term investments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114,762</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51,854</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Security deposits and non-current assets</w:t>
            </w:r>
          </w:p>
        </w:tc>
        <w:tc>
          <w:tcPr>
            <w:tcW w:w="2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563</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1,260</w:t>
            </w:r>
          </w:p>
        </w:tc>
        <w:tc>
          <w:tcPr>
            <w:tcW w:w="280" w:type="dxa"/>
            <w:vAlign w:val="bottom"/>
            <w:tcBorders>
              <w:bottom w:val="single" w:sz="8" w:color="CCEEFF"/>
            </w:tcBorders>
          </w:tcPr>
          <w:p>
            <w:pPr>
              <w:spacing w:after="0"/>
              <w:rPr>
                <w:sz w:val="11"/>
                <w:szCs w:val="11"/>
                <w:color w:val="auto"/>
              </w:rPr>
            </w:pPr>
          </w:p>
        </w:tc>
      </w:tr>
      <w:tr>
        <w:trPr>
          <w:trHeight w:val="128"/>
        </w:trPr>
        <w:tc>
          <w:tcPr>
            <w:tcW w:w="274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assets</w:t>
            </w:r>
          </w:p>
        </w:tc>
        <w:tc>
          <w:tcPr>
            <w:tcW w:w="2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397,551</w:t>
            </w:r>
          </w:p>
        </w:tc>
        <w:tc>
          <w:tcPr>
            <w:tcW w:w="2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486,544</w:t>
            </w:r>
          </w:p>
        </w:tc>
        <w:tc>
          <w:tcPr>
            <w:tcW w:w="280" w:type="dxa"/>
            <w:vAlign w:val="bottom"/>
            <w:tcBorders>
              <w:bottom w:val="single" w:sz="8" w:color="CCEEFF"/>
            </w:tcBorders>
            <w:shd w:val="clear" w:color="auto" w:fill="CCEEFF"/>
          </w:tcPr>
          <w:p>
            <w:pPr>
              <w:spacing w:after="0"/>
              <w:rPr>
                <w:sz w:val="11"/>
                <w:szCs w:val="11"/>
                <w:color w:val="auto"/>
              </w:rPr>
            </w:pPr>
          </w:p>
        </w:tc>
      </w:tr>
      <w:tr>
        <w:trPr>
          <w:trHeight w:val="20"/>
        </w:trPr>
        <w:tc>
          <w:tcPr>
            <w:tcW w:w="2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16"/>
        </w:trPr>
        <w:tc>
          <w:tcPr>
            <w:tcW w:w="27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liabilities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22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5,927</w:t>
            </w:r>
          </w:p>
        </w:tc>
        <w:tc>
          <w:tcPr>
            <w:tcW w:w="26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5,454</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Accrued expenses and other liabilities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9,932</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9,841</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Deposit liability</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705</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866</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Long-term debt, current</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6,502</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Deferred revenue, current</w:t>
            </w:r>
          </w:p>
        </w:tc>
        <w:tc>
          <w:tcPr>
            <w:tcW w:w="2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3,871</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7,154</w:t>
            </w:r>
          </w:p>
        </w:tc>
        <w:tc>
          <w:tcPr>
            <w:tcW w:w="280" w:type="dxa"/>
            <w:vAlign w:val="bottom"/>
            <w:tcBorders>
              <w:bottom w:val="single" w:sz="8" w:color="CCEEFF"/>
            </w:tcBorders>
          </w:tcPr>
          <w:p>
            <w:pPr>
              <w:spacing w:after="0"/>
              <w:rPr>
                <w:sz w:val="11"/>
                <w:szCs w:val="11"/>
                <w:color w:val="auto"/>
              </w:rPr>
            </w:pPr>
          </w:p>
        </w:tc>
      </w:tr>
      <w:tr>
        <w:trPr>
          <w:trHeight w:val="129"/>
        </w:trPr>
        <w:tc>
          <w:tcPr>
            <w:tcW w:w="2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20,435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29,817</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lease liability, long term</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45,535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38,698</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Deposit liability, non-current</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201</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718</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Deferred revenue, non-current</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112,150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110,834</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Long-term debt, net</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3,739</w:t>
            </w:r>
          </w:p>
        </w:tc>
        <w:tc>
          <w:tcPr>
            <w:tcW w:w="280" w:type="dxa"/>
            <w:vAlign w:val="bottom"/>
          </w:tcPr>
          <w:p>
            <w:pPr>
              <w:spacing w:after="0"/>
              <w:rPr>
                <w:sz w:val="11"/>
                <w:szCs w:val="11"/>
                <w:color w:val="auto"/>
              </w:rPr>
            </w:pPr>
          </w:p>
        </w:tc>
      </w:tr>
      <w:tr>
        <w:trPr>
          <w:trHeight w:val="129"/>
        </w:trPr>
        <w:tc>
          <w:tcPr>
            <w:tcW w:w="274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r>
      <w:tr>
        <w:trPr>
          <w:trHeight w:val="135"/>
        </w:trPr>
        <w:tc>
          <w:tcPr>
            <w:tcW w:w="274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b w:val="1"/>
                <w:bCs w:val="1"/>
                <w:color w:val="auto"/>
              </w:rPr>
              <w:t>Total liabilities</w:t>
            </w:r>
          </w:p>
        </w:tc>
        <w:tc>
          <w:tcPr>
            <w:tcW w:w="2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178,321</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183,806</w:t>
            </w:r>
          </w:p>
        </w:tc>
        <w:tc>
          <w:tcPr>
            <w:tcW w:w="280" w:type="dxa"/>
            <w:vAlign w:val="bottom"/>
            <w:tcBorders>
              <w:bottom w:val="single" w:sz="8" w:color="CCEEFF"/>
            </w:tcBorders>
          </w:tcPr>
          <w:p>
            <w:pPr>
              <w:spacing w:after="0"/>
              <w:rPr>
                <w:sz w:val="11"/>
                <w:szCs w:val="11"/>
                <w:color w:val="auto"/>
              </w:rPr>
            </w:pPr>
          </w:p>
        </w:tc>
      </w:tr>
      <w:tr>
        <w:trPr>
          <w:trHeight w:val="128"/>
        </w:trPr>
        <w:tc>
          <w:tcPr>
            <w:tcW w:w="27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Commitments and contingencies (Note 11)</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Stockholders' equity:</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21"/>
        </w:trPr>
        <w:tc>
          <w:tcPr>
            <w:tcW w:w="5020" w:type="dxa"/>
            <w:vAlign w:val="bottom"/>
            <w:gridSpan w:val="3"/>
          </w:tcPr>
          <w:p>
            <w:pPr>
              <w:ind w:left="20"/>
              <w:spacing w:after="0" w:line="121" w:lineRule="exact"/>
              <w:rPr>
                <w:sz w:val="20"/>
                <w:szCs w:val="20"/>
                <w:color w:val="auto"/>
              </w:rPr>
            </w:pPr>
            <w:r>
              <w:rPr>
                <w:rFonts w:ascii="Arial" w:cs="Arial" w:eastAsia="Arial" w:hAnsi="Arial"/>
                <w:sz w:val="13"/>
                <w:szCs w:val="13"/>
                <w:color w:val="auto"/>
              </w:rPr>
              <w:t>Preferred stock, $ 0.0001 par value, 10,000,000 shares authorized and 0 shares</w:t>
            </w:r>
          </w:p>
        </w:tc>
        <w:tc>
          <w:tcPr>
            <w:tcW w:w="1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49"/>
        </w:trPr>
        <w:tc>
          <w:tcPr>
            <w:tcW w:w="5020" w:type="dxa"/>
            <w:vAlign w:val="bottom"/>
            <w:gridSpan w:val="3"/>
          </w:tcPr>
          <w:p>
            <w:pPr>
              <w:ind w:left="20"/>
              <w:spacing w:after="0"/>
              <w:rPr>
                <w:sz w:val="20"/>
                <w:szCs w:val="20"/>
                <w:color w:val="auto"/>
              </w:rPr>
            </w:pPr>
            <w:r>
              <w:rPr>
                <w:rFonts w:ascii="Arial" w:cs="Arial" w:eastAsia="Arial" w:hAnsi="Arial"/>
                <w:sz w:val="13"/>
                <w:szCs w:val="13"/>
                <w:color w:val="auto"/>
              </w:rPr>
              <w:t>issued and outstanding at September 30, 2023 and December 31, 2022</w:t>
            </w:r>
          </w:p>
        </w:tc>
        <w:tc>
          <w:tcPr>
            <w:tcW w:w="18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121"/>
        </w:trPr>
        <w:tc>
          <w:tcPr>
            <w:tcW w:w="27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7"/>
              </w:rPr>
              <w:t>Common stock, $0.0001 par value, 125,236,190</w:t>
            </w:r>
          </w:p>
        </w:tc>
        <w:tc>
          <w:tcPr>
            <w:tcW w:w="2280" w:type="dxa"/>
            <w:vAlign w:val="bottom"/>
            <w:gridSpan w:val="2"/>
            <w:shd w:val="clear" w:color="auto" w:fill="CCEEFF"/>
          </w:tcPr>
          <w:p>
            <w:pPr>
              <w:jc w:val="right"/>
              <w:ind w:right="497"/>
              <w:spacing w:after="0" w:line="121" w:lineRule="exact"/>
              <w:rPr>
                <w:sz w:val="20"/>
                <w:szCs w:val="20"/>
                <w:color w:val="auto"/>
              </w:rPr>
            </w:pPr>
            <w:r>
              <w:rPr>
                <w:rFonts w:ascii="Arial" w:cs="Arial" w:eastAsia="Arial" w:hAnsi="Arial"/>
                <w:sz w:val="13"/>
                <w:szCs w:val="13"/>
                <w:color w:val="auto"/>
                <w:w w:val="96"/>
              </w:rPr>
              <w:t>shares authorized; 59,514,533</w:t>
            </w:r>
          </w:p>
        </w:tc>
        <w:tc>
          <w:tcPr>
            <w:tcW w:w="1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r>
      <w:tr>
        <w:trPr>
          <w:trHeight w:val="135"/>
        </w:trPr>
        <w:tc>
          <w:tcPr>
            <w:tcW w:w="502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and 58,473,660 shares issued and outstanding at September 30, 2023 and</w:t>
            </w: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49"/>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2022, respectively</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2"/>
                <w:szCs w:val="12"/>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Additional paid-in capital</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836,901</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824,292</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Accumulated deficit</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(616,373)</w:t>
            </w:r>
          </w:p>
        </w:tc>
        <w:tc>
          <w:tcPr>
            <w:tcW w:w="1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(519,098)</w:t>
            </w: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Accumulated other comprehensive loss</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(1,304)</w:t>
            </w:r>
          </w:p>
        </w:tc>
        <w:tc>
          <w:tcPr>
            <w:tcW w:w="160" w:type="dxa"/>
            <w:vAlign w:val="bottom"/>
          </w:tcPr>
          <w:p>
            <w:pPr>
              <w:spacing w:after="0"/>
              <w:rPr>
                <w:sz w:val="11"/>
                <w:szCs w:val="11"/>
                <w:color w:val="auto"/>
              </w:rPr>
            </w:pPr>
          </w:p>
        </w:tc>
        <w:tc>
          <w:tcPr>
            <w:tcW w:w="18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(2,462)</w:t>
            </w:r>
          </w:p>
        </w:tc>
      </w:tr>
      <w:tr>
        <w:trPr>
          <w:trHeight w:val="128"/>
        </w:trPr>
        <w:tc>
          <w:tcPr>
            <w:tcW w:w="27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2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219,230</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302,738</w:t>
            </w:r>
          </w:p>
        </w:tc>
        <w:tc>
          <w:tcPr>
            <w:tcW w:w="280" w:type="dxa"/>
            <w:vAlign w:val="bottom"/>
            <w:tcBorders>
              <w:top w:val="single" w:sz="8" w:color="CCEEFF"/>
            </w:tcBorders>
            <w:shd w:val="clear" w:color="auto" w:fill="CCEEFF"/>
          </w:tcPr>
          <w:p>
            <w:pPr>
              <w:spacing w:after="0"/>
              <w:rPr>
                <w:sz w:val="11"/>
                <w:szCs w:val="11"/>
                <w:color w:val="auto"/>
              </w:rPr>
            </w:pPr>
          </w:p>
        </w:tc>
      </w:tr>
      <w:tr>
        <w:trPr>
          <w:trHeight w:val="129"/>
        </w:trPr>
        <w:tc>
          <w:tcPr>
            <w:tcW w:w="27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212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397,551</w:t>
            </w:r>
          </w:p>
        </w:tc>
        <w:tc>
          <w:tcPr>
            <w:tcW w:w="26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486,544</w:t>
            </w:r>
          </w:p>
        </w:tc>
        <w:tc>
          <w:tcPr>
            <w:tcW w:w="280" w:type="dxa"/>
            <w:vAlign w:val="bottom"/>
          </w:tcPr>
          <w:p>
            <w:pPr>
              <w:spacing w:after="0"/>
              <w:rPr>
                <w:sz w:val="11"/>
                <w:szCs w:val="11"/>
                <w:color w:val="auto"/>
              </w:rPr>
            </w:pPr>
          </w:p>
        </w:tc>
      </w:tr>
      <w:tr>
        <w:trPr>
          <w:trHeight w:val="20"/>
        </w:trPr>
        <w:tc>
          <w:tcPr>
            <w:tcW w:w="2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7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Three Months Ended</w:t>
            </w:r>
          </w:p>
        </w:tc>
        <w:tc>
          <w:tcPr>
            <w:tcW w:w="14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Three Months Ended</w:t>
            </w:r>
          </w:p>
        </w:tc>
        <w:tc>
          <w:tcPr>
            <w:tcW w:w="148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Nine Months Ended</w:t>
            </w:r>
          </w:p>
        </w:tc>
        <w:tc>
          <w:tcPr>
            <w:tcW w:w="1580" w:type="dxa"/>
            <w:vAlign w:val="bottom"/>
            <w:tcBorders>
              <w:top w:val="single" w:sz="8" w:color="auto"/>
            </w:tcBorders>
            <w:gridSpan w:val="4"/>
          </w:tcPr>
          <w:p>
            <w:pPr>
              <w:ind w:left="40"/>
              <w:spacing w:after="0"/>
              <w:rPr>
                <w:sz w:val="20"/>
                <w:szCs w:val="20"/>
                <w:color w:val="auto"/>
              </w:rPr>
            </w:pPr>
            <w:r>
              <w:rPr>
                <w:rFonts w:ascii="Arial" w:cs="Arial" w:eastAsia="Arial" w:hAnsi="Arial"/>
                <w:sz w:val="14"/>
                <w:szCs w:val="14"/>
                <w:color w:val="auto"/>
              </w:rPr>
              <w:t>Nine Months Ended</w:t>
            </w:r>
          </w:p>
        </w:tc>
      </w:tr>
      <w:tr>
        <w:trPr>
          <w:trHeight w:val="167"/>
        </w:trPr>
        <w:tc>
          <w:tcPr>
            <w:tcW w:w="2780" w:type="dxa"/>
            <w:vAlign w:val="bottom"/>
          </w:tcPr>
          <w:p>
            <w:pPr>
              <w:spacing w:after="0"/>
              <w:rPr>
                <w:sz w:val="14"/>
                <w:szCs w:val="14"/>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4"/>
                <w:szCs w:val="14"/>
                <w:color w:val="auto"/>
              </w:rPr>
              <w:t>September 30, 2023</w:t>
            </w:r>
          </w:p>
        </w:tc>
        <w:tc>
          <w:tcPr>
            <w:tcW w:w="1480" w:type="dxa"/>
            <w:vAlign w:val="bottom"/>
            <w:gridSpan w:val="3"/>
          </w:tcPr>
          <w:p>
            <w:pPr>
              <w:jc w:val="right"/>
              <w:ind w:right="100"/>
              <w:spacing w:after="0"/>
              <w:rPr>
                <w:sz w:val="20"/>
                <w:szCs w:val="20"/>
                <w:color w:val="auto"/>
              </w:rPr>
            </w:pPr>
            <w:r>
              <w:rPr>
                <w:rFonts w:ascii="Arial" w:cs="Arial" w:eastAsia="Arial" w:hAnsi="Arial"/>
                <w:sz w:val="14"/>
                <w:szCs w:val="14"/>
                <w:color w:val="auto"/>
              </w:rPr>
              <w:t>September 30, 2022</w:t>
            </w:r>
          </w:p>
        </w:tc>
        <w:tc>
          <w:tcPr>
            <w:tcW w:w="1480" w:type="dxa"/>
            <w:vAlign w:val="bottom"/>
            <w:gridSpan w:val="3"/>
          </w:tcPr>
          <w:p>
            <w:pPr>
              <w:jc w:val="right"/>
              <w:ind w:right="140"/>
              <w:spacing w:after="0"/>
              <w:rPr>
                <w:sz w:val="20"/>
                <w:szCs w:val="20"/>
                <w:color w:val="auto"/>
              </w:rPr>
            </w:pPr>
            <w:r>
              <w:rPr>
                <w:rFonts w:ascii="Arial" w:cs="Arial" w:eastAsia="Arial" w:hAnsi="Arial"/>
                <w:sz w:val="14"/>
                <w:szCs w:val="14"/>
                <w:color w:val="auto"/>
              </w:rPr>
              <w:t>September 30, 2023</w:t>
            </w:r>
          </w:p>
        </w:tc>
        <w:tc>
          <w:tcPr>
            <w:tcW w:w="1580" w:type="dxa"/>
            <w:vAlign w:val="bottom"/>
            <w:gridSpan w:val="4"/>
          </w:tcPr>
          <w:p>
            <w:pPr>
              <w:ind w:left="20"/>
              <w:spacing w:after="0"/>
              <w:rPr>
                <w:sz w:val="20"/>
                <w:szCs w:val="20"/>
                <w:color w:val="auto"/>
              </w:rPr>
            </w:pPr>
            <w:r>
              <w:rPr>
                <w:rFonts w:ascii="Arial" w:cs="Arial" w:eastAsia="Arial" w:hAnsi="Arial"/>
                <w:sz w:val="14"/>
                <w:szCs w:val="14"/>
                <w:color w:val="auto"/>
              </w:rPr>
              <w:t>September 30, 2022</w:t>
            </w:r>
          </w:p>
        </w:tc>
      </w:tr>
      <w:tr>
        <w:trPr>
          <w:trHeight w:val="155"/>
        </w:trPr>
        <w:tc>
          <w:tcPr>
            <w:tcW w:w="27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3"/>
        </w:trPr>
        <w:tc>
          <w:tcPr>
            <w:tcW w:w="2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Collaboration revenue</w:t>
            </w:r>
          </w:p>
        </w:tc>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2,224</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4,678</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62"/>
        </w:trPr>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2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22,788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25,898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70,414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71,588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2"/>
        </w:trPr>
        <w:tc>
          <w:tcPr>
            <w:tcW w:w="2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8,986</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8,064</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23,615</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0"/>
        </w:trPr>
        <w:tc>
          <w:tcPr>
            <w:tcW w:w="2780" w:type="dxa"/>
            <w:vAlign w:val="bottom"/>
          </w:tcPr>
          <w:p>
            <w:pPr>
              <w:ind w:left="20"/>
              <w:spacing w:after="0" w:line="189" w:lineRule="exact"/>
              <w:rPr>
                <w:sz w:val="20"/>
                <w:szCs w:val="20"/>
                <w:color w:val="auto"/>
              </w:rPr>
            </w:pPr>
            <w:r>
              <w:rPr>
                <w:rFonts w:ascii="Arial" w:cs="Arial" w:eastAsia="Arial" w:hAnsi="Arial"/>
                <w:sz w:val="18"/>
                <w:szCs w:val="18"/>
                <w:color w:val="auto"/>
              </w:rPr>
              <w:t>In-process research and</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3"/>
        </w:trPr>
        <w:tc>
          <w:tcPr>
            <w:tcW w:w="2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Impairment of long-lived assets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r>
      <w:tr>
        <w:trPr>
          <w:trHeight w:val="196"/>
        </w:trPr>
        <w:tc>
          <w:tcPr>
            <w:tcW w:w="278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35,774</w:t>
            </w:r>
          </w:p>
        </w:tc>
        <w:tc>
          <w:tcPr>
            <w:tcW w:w="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33,962</w:t>
            </w:r>
          </w:p>
        </w:tc>
        <w:tc>
          <w:tcPr>
            <w:tcW w:w="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104,751</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105,203</w:t>
            </w: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r>
      <w:tr>
        <w:trPr>
          <w:trHeight w:val="196"/>
        </w:trPr>
        <w:tc>
          <w:tcPr>
            <w:tcW w:w="2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Loss from operations</w:t>
            </w:r>
          </w:p>
        </w:tc>
        <w:tc>
          <w:tcPr>
            <w:tcW w:w="3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(35,626)</w:t>
            </w:r>
          </w:p>
        </w:tc>
        <w:tc>
          <w:tcPr>
            <w:tcW w:w="30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(31,738)</w:t>
            </w:r>
          </w:p>
        </w:tc>
        <w:tc>
          <w:tcPr>
            <w:tcW w:w="26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(102,784)</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(100,525)</w:t>
            </w:r>
          </w:p>
        </w:tc>
        <w:tc>
          <w:tcPr>
            <w:tcW w:w="240" w:type="dxa"/>
            <w:vAlign w:val="bottom"/>
          </w:tcPr>
          <w:p>
            <w:pPr>
              <w:spacing w:after="0"/>
              <w:rPr>
                <w:sz w:val="17"/>
                <w:szCs w:val="17"/>
                <w:color w:val="auto"/>
              </w:rPr>
            </w:pPr>
          </w:p>
        </w:tc>
      </w:tr>
      <w:tr>
        <w:trPr>
          <w:trHeight w:val="203"/>
        </w:trPr>
        <w:tc>
          <w:tcPr>
            <w:tcW w:w="2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(373)</w:t>
            </w:r>
          </w:p>
        </w:tc>
        <w:tc>
          <w:tcPr>
            <w:tcW w:w="26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(540)</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(1,017)</w:t>
            </w:r>
          </w:p>
        </w:tc>
        <w:tc>
          <w:tcPr>
            <w:tcW w:w="240" w:type="dxa"/>
            <w:vAlign w:val="bottom"/>
          </w:tcPr>
          <w:p>
            <w:pPr>
              <w:spacing w:after="0"/>
              <w:rPr>
                <w:sz w:val="17"/>
                <w:szCs w:val="17"/>
                <w:color w:val="auto"/>
              </w:rPr>
            </w:pPr>
          </w:p>
        </w:tc>
      </w:tr>
      <w:tr>
        <w:trPr>
          <w:trHeight w:val="203"/>
        </w:trPr>
        <w:tc>
          <w:tcPr>
            <w:tcW w:w="2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3,486</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1,411</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9,167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2,370</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26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(368)</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w:t>
            </w:r>
          </w:p>
        </w:tc>
        <w:tc>
          <w:tcPr>
            <w:tcW w:w="240" w:type="dxa"/>
            <w:vAlign w:val="bottom"/>
          </w:tcPr>
          <w:p>
            <w:pPr>
              <w:spacing w:after="0"/>
              <w:rPr>
                <w:sz w:val="17"/>
                <w:szCs w:val="17"/>
                <w:color w:val="auto"/>
              </w:rPr>
            </w:pPr>
          </w:p>
        </w:tc>
      </w:tr>
      <w:tr>
        <w:trPr>
          <w:trHeight w:val="196"/>
        </w:trPr>
        <w:tc>
          <w:tcPr>
            <w:tcW w:w="278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other income (expense)</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3,498</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1,014</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8,259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1,334</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r>
      <w:tr>
        <w:trPr>
          <w:trHeight w:val="180"/>
        </w:trPr>
        <w:tc>
          <w:tcPr>
            <w:tcW w:w="2780" w:type="dxa"/>
            <w:vAlign w:val="bottom"/>
          </w:tcPr>
          <w:p>
            <w:pPr>
              <w:ind w:left="20"/>
              <w:spacing w:after="0" w:line="180" w:lineRule="exact"/>
              <w:rPr>
                <w:sz w:val="20"/>
                <w:szCs w:val="20"/>
                <w:color w:val="auto"/>
              </w:rPr>
            </w:pPr>
            <w:r>
              <w:rPr>
                <w:rFonts w:ascii="Arial" w:cs="Arial" w:eastAsia="Arial" w:hAnsi="Arial"/>
                <w:sz w:val="18"/>
                <w:szCs w:val="18"/>
                <w:b w:val="1"/>
                <w:bCs w:val="1"/>
                <w:color w:val="auto"/>
              </w:rPr>
              <w:t>Loss before provision for</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5"/>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income taxes</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(32,128)</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(30,724)</w:t>
            </w: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(94,525)</w:t>
            </w:r>
          </w:p>
        </w:tc>
        <w:tc>
          <w:tcPr>
            <w:tcW w:w="2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(99,191)</w:t>
            </w:r>
          </w:p>
        </w:tc>
        <w:tc>
          <w:tcPr>
            <w:tcW w:w="240" w:type="dxa"/>
            <w:vAlign w:val="bottom"/>
          </w:tcPr>
          <w:p>
            <w:pPr>
              <w:spacing w:after="0"/>
              <w:rPr>
                <w:sz w:val="19"/>
                <w:szCs w:val="19"/>
                <w:color w:val="auto"/>
              </w:rPr>
            </w:pPr>
          </w:p>
        </w:tc>
      </w:tr>
      <w:tr>
        <w:trPr>
          <w:trHeight w:val="203"/>
        </w:trPr>
        <w:tc>
          <w:tcPr>
            <w:tcW w:w="2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(592)</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(2,750)</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7"/>
                <w:szCs w:val="17"/>
                <w:color w:val="auto"/>
              </w:rPr>
            </w:pPr>
          </w:p>
        </w:tc>
      </w:tr>
      <w:tr>
        <w:trPr>
          <w:trHeight w:val="236"/>
        </w:trPr>
        <w:tc>
          <w:tcPr>
            <w:tcW w:w="278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30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(32,720)</w:t>
            </w:r>
          </w:p>
        </w:tc>
        <w:tc>
          <w:tcPr>
            <w:tcW w:w="1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(30,749)</w:t>
            </w:r>
          </w:p>
        </w:tc>
        <w:tc>
          <w:tcPr>
            <w:tcW w:w="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6"/>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(97,275)</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(99,250)</w:t>
            </w: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r>
      <w:tr>
        <w:trPr>
          <w:trHeight w:val="183"/>
        </w:trPr>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90"/>
        </w:trPr>
        <w:tc>
          <w:tcPr>
            <w:tcW w:w="2780" w:type="dxa"/>
            <w:vAlign w:val="bottom"/>
          </w:tcPr>
          <w:p>
            <w:pPr>
              <w:ind w:left="20"/>
              <w:spacing w:after="0" w:line="189" w:lineRule="exact"/>
              <w:rPr>
                <w:sz w:val="20"/>
                <w:szCs w:val="20"/>
                <w:color w:val="auto"/>
              </w:rPr>
            </w:pPr>
            <w:r>
              <w:rPr>
                <w:rFonts w:ascii="Arial" w:cs="Arial" w:eastAsia="Arial" w:hAnsi="Arial"/>
                <w:sz w:val="18"/>
                <w:szCs w:val="18"/>
                <w:color w:val="auto"/>
              </w:rPr>
              <w:t>Net loss per common share</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r>
      <w:tr>
        <w:trPr>
          <w:trHeight w:val="190"/>
        </w:trPr>
        <w:tc>
          <w:tcPr>
            <w:tcW w:w="2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Weighted average common</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3"/>
        </w:trPr>
        <w:tc>
          <w:tcPr>
            <w:tcW w:w="2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outstanding</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5"/>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59,448,229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57,973,541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59,087,374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57,573,406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2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(32,720)</w:t>
            </w:r>
          </w:p>
        </w:tc>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(30,749)</w:t>
            </w:r>
          </w:p>
        </w:tc>
        <w:tc>
          <w:tcPr>
            <w:tcW w:w="26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(97,275)</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(99,250)</w:t>
            </w:r>
          </w:p>
        </w:tc>
        <w:tc>
          <w:tcPr>
            <w:tcW w:w="240" w:type="dxa"/>
            <w:vAlign w:val="bottom"/>
            <w:shd w:val="clear" w:color="auto" w:fill="CCEEFF"/>
          </w:tcPr>
          <w:p>
            <w:pPr>
              <w:spacing w:after="0"/>
              <w:rPr>
                <w:sz w:val="17"/>
                <w:szCs w:val="17"/>
                <w:color w:val="auto"/>
              </w:rPr>
            </w:pPr>
          </w:p>
        </w:tc>
      </w:tr>
      <w:tr>
        <w:trPr>
          <w:trHeight w:val="190"/>
        </w:trPr>
        <w:tc>
          <w:tcPr>
            <w:tcW w:w="2780" w:type="dxa"/>
            <w:vAlign w:val="bottom"/>
          </w:tcPr>
          <w:p>
            <w:pPr>
              <w:ind w:left="120"/>
              <w:spacing w:after="0" w:line="189" w:lineRule="exact"/>
              <w:rPr>
                <w:sz w:val="20"/>
                <w:szCs w:val="20"/>
                <w:color w:val="auto"/>
              </w:rPr>
            </w:pPr>
            <w:r>
              <w:rPr>
                <w:rFonts w:ascii="Arial" w:cs="Arial" w:eastAsia="Arial" w:hAnsi="Arial"/>
                <w:sz w:val="18"/>
                <w:szCs w:val="18"/>
                <w:color w:val="auto"/>
              </w:rPr>
              <w:t>Unrealized gain (loss) on</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5"/>
        </w:trPr>
        <w:tc>
          <w:tcPr>
            <w:tcW w:w="27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(2,931)</w:t>
            </w:r>
          </w:p>
        </w:tc>
        <w:tc>
          <w:tcPr>
            <w:tcW w:w="240" w:type="dxa"/>
            <w:vAlign w:val="bottom"/>
          </w:tcPr>
          <w:p>
            <w:pPr>
              <w:spacing w:after="0"/>
              <w:rPr>
                <w:sz w:val="18"/>
                <w:szCs w:val="18"/>
                <w:color w:val="auto"/>
              </w:rPr>
            </w:pPr>
          </w:p>
        </w:tc>
      </w:tr>
      <w:tr>
        <w:trPr>
          <w:trHeight w:val="203"/>
        </w:trPr>
        <w:tc>
          <w:tcPr>
            <w:tcW w:w="2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7"/>
                <w:szCs w:val="17"/>
                <w:color w:val="auto"/>
              </w:rPr>
            </w:pPr>
          </w:p>
        </w:tc>
      </w:tr>
      <w:tr>
        <w:trPr>
          <w:trHeight w:val="196"/>
        </w:trPr>
        <w:tc>
          <w:tcPr>
            <w:tcW w:w="278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(32,817)</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(30,919)</w:t>
            </w: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(96,119)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(102,204)</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2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jc w:val="center"/>
        <w:spacing w:after="0" w:line="186" w:lineRule="auto"/>
        <w:rPr>
          <w:sz w:val="20"/>
          <w:szCs w:val="20"/>
          <w:color w:val="auto"/>
        </w:rPr>
      </w:pPr>
      <w:r>
        <w:rPr>
          <w:rFonts w:ascii="Arial" w:cs="Arial" w:eastAsia="Arial" w:hAnsi="Arial"/>
          <w:sz w:val="22"/>
          <w:szCs w:val="22"/>
          <w:b w:val="1"/>
          <w:bCs w:val="1"/>
          <w:color w:val="auto"/>
        </w:rPr>
        <w:t>CONSOLIDATED STATEMENTS OF CHANGES IN STOCKHOLDERS’ EQUITY</w:t>
      </w:r>
    </w:p>
    <w:p>
      <w:pPr>
        <w:jc w:val="center"/>
        <w:spacing w:after="0" w:line="181" w:lineRule="auto"/>
        <w:rPr>
          <w:sz w:val="20"/>
          <w:szCs w:val="20"/>
          <w:color w:val="auto"/>
        </w:rPr>
      </w:pPr>
      <w:r>
        <w:rPr>
          <w:rFonts w:ascii="Arial" w:cs="Arial" w:eastAsia="Arial" w:hAnsi="Arial"/>
          <w:sz w:val="25"/>
          <w:szCs w:val="25"/>
          <w:b w:val="1"/>
          <w:bCs w:val="1"/>
          <w:color w:val="auto"/>
        </w:rPr>
        <w:t>(Unaudited)</w:t>
      </w:r>
    </w:p>
    <w:p>
      <w:pPr>
        <w:jc w:val="center"/>
        <w:spacing w:after="0"/>
        <w:rPr>
          <w:sz w:val="20"/>
          <w:szCs w:val="20"/>
          <w:color w:val="auto"/>
        </w:rPr>
      </w:pPr>
      <w:r>
        <w:rPr>
          <w:rFonts w:ascii="Arial" w:cs="Arial" w:eastAsia="Arial" w:hAnsi="Arial"/>
          <w:sz w:val="25"/>
          <w:szCs w:val="25"/>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64808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4"/>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105"/>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64"/>
              <w:spacing w:after="0"/>
              <w:rPr>
                <w:sz w:val="20"/>
                <w:szCs w:val="20"/>
                <w:color w:val="auto"/>
              </w:rPr>
            </w:pPr>
            <w:r>
              <w:rPr>
                <w:rFonts w:ascii="Arial" w:cs="Arial" w:eastAsia="Arial" w:hAnsi="Arial"/>
                <w:sz w:val="14"/>
                <w:szCs w:val="14"/>
                <w:color w:val="auto"/>
              </w:rPr>
              <w:t>Paid-in</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800" w:type="dxa"/>
            <w:vAlign w:val="bottom"/>
          </w:tcPr>
          <w:p>
            <w:pPr>
              <w:jc w:val="right"/>
              <w:ind w:right="5"/>
              <w:spacing w:after="0" w:line="155" w:lineRule="exact"/>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5"/>
              <w:spacing w:after="0" w:line="155" w:lineRule="exact"/>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64"/>
              <w:spacing w:after="0" w:line="155" w:lineRule="exact"/>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225"/>
              <w:spacing w:after="0" w:line="155" w:lineRule="exact"/>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center"/>
              <w:ind w:right="200"/>
              <w:spacing w:after="0" w:line="155" w:lineRule="exact"/>
              <w:rPr>
                <w:sz w:val="20"/>
                <w:szCs w:val="20"/>
                <w:color w:val="auto"/>
              </w:rPr>
            </w:pPr>
            <w:r>
              <w:rPr>
                <w:rFonts w:ascii="Arial" w:cs="Arial" w:eastAsia="Arial" w:hAnsi="Arial"/>
                <w:sz w:val="14"/>
                <w:szCs w:val="14"/>
                <w:color w:val="auto"/>
              </w:rPr>
              <w:t>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85"/>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15"/>
        </w:trPr>
        <w:tc>
          <w:tcPr>
            <w:tcW w:w="41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2022</w:t>
            </w: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58,473,660</w:t>
            </w: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824,292</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(519,098)</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(2,462)</w:t>
            </w: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302,738</w:t>
            </w:r>
          </w:p>
        </w:tc>
        <w:tc>
          <w:tcPr>
            <w:tcW w:w="0" w:type="dxa"/>
            <w:vAlign w:val="bottom"/>
          </w:tcPr>
          <w:p>
            <w:pPr>
              <w:spacing w:after="0"/>
              <w:rPr>
                <w:sz w:val="1"/>
                <w:szCs w:val="1"/>
                <w:color w:val="auto"/>
              </w:rPr>
            </w:pP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Issuance of common stock upon the exercise of stock options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452,102</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448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448</w:t>
            </w:r>
          </w:p>
        </w:tc>
        <w:tc>
          <w:tcPr>
            <w:tcW w:w="0" w:type="dxa"/>
            <w:vAlign w:val="bottom"/>
          </w:tcPr>
          <w:p>
            <w:pPr>
              <w:spacing w:after="0"/>
              <w:rPr>
                <w:sz w:val="1"/>
                <w:szCs w:val="1"/>
                <w:color w:val="auto"/>
              </w:rPr>
            </w:pPr>
          </w:p>
        </w:tc>
      </w:tr>
      <w:tr>
        <w:trPr>
          <w:trHeight w:val="121"/>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95,877</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85,145</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269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269</w:t>
            </w:r>
          </w:p>
        </w:tc>
        <w:tc>
          <w:tcPr>
            <w:tcW w:w="0" w:type="dxa"/>
            <w:vAlign w:val="bottom"/>
          </w:tcPr>
          <w:p>
            <w:pPr>
              <w:spacing w:after="0"/>
              <w:rPr>
                <w:sz w:val="1"/>
                <w:szCs w:val="1"/>
                <w:color w:val="auto"/>
              </w:rPr>
            </w:pP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gain on short-term investments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1,196</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1,196</w:t>
            </w:r>
          </w:p>
        </w:tc>
        <w:tc>
          <w:tcPr>
            <w:tcW w:w="0" w:type="dxa"/>
            <w:vAlign w:val="bottom"/>
          </w:tcPr>
          <w:p>
            <w:pPr>
              <w:spacing w:after="0"/>
              <w:rPr>
                <w:sz w:val="1"/>
                <w:szCs w:val="1"/>
                <w:color w:val="auto"/>
              </w:rPr>
            </w:pP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w:t>
            </w:r>
          </w:p>
        </w:tc>
        <w:tc>
          <w:tcPr>
            <w:tcW w:w="0" w:type="dxa"/>
            <w:vAlign w:val="bottom"/>
          </w:tcPr>
          <w:p>
            <w:pPr>
              <w:spacing w:after="0"/>
              <w:rPr>
                <w:sz w:val="1"/>
                <w:szCs w:val="1"/>
                <w:color w:val="auto"/>
              </w:rPr>
            </w:pP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3,797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3,797</w:t>
            </w:r>
          </w:p>
        </w:tc>
        <w:tc>
          <w:tcPr>
            <w:tcW w:w="0" w:type="dxa"/>
            <w:vAlign w:val="bottom"/>
          </w:tcPr>
          <w:p>
            <w:pPr>
              <w:spacing w:after="0"/>
              <w:rPr>
                <w:sz w:val="1"/>
                <w:szCs w:val="1"/>
                <w:color w:val="auto"/>
              </w:rPr>
            </w:pPr>
          </w:p>
        </w:tc>
      </w:tr>
      <w:tr>
        <w:trPr>
          <w:trHeight w:val="121"/>
        </w:trPr>
        <w:tc>
          <w:tcPr>
            <w:tcW w:w="410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(31,264)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(31,264)</w:t>
            </w:r>
          </w:p>
        </w:tc>
        <w:tc>
          <w:tcPr>
            <w:tcW w:w="0" w:type="dxa"/>
            <w:vAlign w:val="bottom"/>
          </w:tcPr>
          <w:p>
            <w:pPr>
              <w:spacing w:after="0"/>
              <w:rPr>
                <w:sz w:val="1"/>
                <w:szCs w:val="1"/>
                <w:color w:val="auto"/>
              </w:rPr>
            </w:pPr>
          </w:p>
        </w:tc>
      </w:tr>
      <w:tr>
        <w:trPr>
          <w:trHeight w:val="115"/>
        </w:trPr>
        <w:tc>
          <w:tcPr>
            <w:tcW w:w="410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2023</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59,106,784</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828,806</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(550,362)</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(1,275)</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277,175</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1"/>
                <w:szCs w:val="11"/>
                <w:color w:val="auto"/>
              </w:rPr>
              <w:t>Issuance of common stock upon the exercise of stock options</w:t>
            </w: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100" w:type="dxa"/>
            <w:vAlign w:val="bottom"/>
            <w:vMerge w:val="continue"/>
          </w:tcPr>
          <w:p>
            <w:pPr>
              <w:spacing w:after="0"/>
              <w:rPr>
                <w:sz w:val="8"/>
                <w:szCs w:val="8"/>
                <w:color w:val="auto"/>
              </w:rPr>
            </w:pPr>
          </w:p>
        </w:tc>
        <w:tc>
          <w:tcPr>
            <w:tcW w:w="8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118,567</w:t>
            </w:r>
          </w:p>
        </w:tc>
        <w:tc>
          <w:tcPr>
            <w:tcW w:w="1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125</w:t>
            </w: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125</w:t>
            </w:r>
          </w:p>
        </w:tc>
        <w:tc>
          <w:tcPr>
            <w:tcW w:w="0" w:type="dxa"/>
            <w:vAlign w:val="bottom"/>
          </w:tcPr>
          <w:p>
            <w:pPr>
              <w:spacing w:after="0"/>
              <w:rPr>
                <w:sz w:val="1"/>
                <w:szCs w:val="1"/>
                <w:color w:val="auto"/>
              </w:rPr>
            </w:pP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1"/>
        </w:trPr>
        <w:tc>
          <w:tcPr>
            <w:tcW w:w="410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83,645</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209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209</w:t>
            </w:r>
          </w:p>
        </w:tc>
        <w:tc>
          <w:tcPr>
            <w:tcW w:w="0" w:type="dxa"/>
            <w:vAlign w:val="bottom"/>
          </w:tcPr>
          <w:p>
            <w:pPr>
              <w:spacing w:after="0"/>
              <w:rPr>
                <w:sz w:val="1"/>
                <w:szCs w:val="1"/>
                <w:color w:val="auto"/>
              </w:rPr>
            </w:pP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gain on short-term investments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59</w:t>
            </w:r>
          </w:p>
        </w:tc>
        <w:tc>
          <w:tcPr>
            <w:tcW w:w="0" w:type="dxa"/>
            <w:vAlign w:val="bottom"/>
          </w:tcPr>
          <w:p>
            <w:pPr>
              <w:spacing w:after="0"/>
              <w:rPr>
                <w:sz w:val="1"/>
                <w:szCs w:val="1"/>
                <w:color w:val="auto"/>
              </w:rPr>
            </w:pP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w:t>
            </w:r>
          </w:p>
        </w:tc>
        <w:tc>
          <w:tcPr>
            <w:tcW w:w="0" w:type="dxa"/>
            <w:vAlign w:val="bottom"/>
          </w:tcPr>
          <w:p>
            <w:pPr>
              <w:spacing w:after="0"/>
              <w:rPr>
                <w:sz w:val="1"/>
                <w:szCs w:val="1"/>
                <w:color w:val="auto"/>
              </w:rPr>
            </w:pP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3,285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3,285</w:t>
            </w:r>
          </w:p>
        </w:tc>
        <w:tc>
          <w:tcPr>
            <w:tcW w:w="0" w:type="dxa"/>
            <w:vAlign w:val="bottom"/>
          </w:tcPr>
          <w:p>
            <w:pPr>
              <w:spacing w:after="0"/>
              <w:rPr>
                <w:sz w:val="1"/>
                <w:szCs w:val="1"/>
                <w:color w:val="auto"/>
              </w:rPr>
            </w:pPr>
          </w:p>
        </w:tc>
      </w:tr>
      <w:tr>
        <w:trPr>
          <w:trHeight w:val="121"/>
        </w:trPr>
        <w:tc>
          <w:tcPr>
            <w:tcW w:w="410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(33,291)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(33,291)</w:t>
            </w:r>
          </w:p>
        </w:tc>
        <w:tc>
          <w:tcPr>
            <w:tcW w:w="0" w:type="dxa"/>
            <w:vAlign w:val="bottom"/>
          </w:tcPr>
          <w:p>
            <w:pPr>
              <w:spacing w:after="0"/>
              <w:rPr>
                <w:sz w:val="1"/>
                <w:szCs w:val="1"/>
                <w:color w:val="auto"/>
              </w:rPr>
            </w:pPr>
          </w:p>
        </w:tc>
      </w:tr>
      <w:tr>
        <w:trPr>
          <w:trHeight w:val="115"/>
        </w:trPr>
        <w:tc>
          <w:tcPr>
            <w:tcW w:w="410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June 30, 2023</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59,308,996</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832,425</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(583,653)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(1,207)</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247,571</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1"/>
                <w:szCs w:val="11"/>
                <w:color w:val="auto"/>
              </w:rPr>
              <w:t>Issuance of common stock upon the exercise of stock options and 2021 ESPP</w:t>
            </w: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100" w:type="dxa"/>
            <w:vAlign w:val="bottom"/>
            <w:vMerge w:val="continue"/>
          </w:tcPr>
          <w:p>
            <w:pPr>
              <w:spacing w:after="0"/>
              <w:rPr>
                <w:sz w:val="8"/>
                <w:szCs w:val="8"/>
                <w:color w:val="auto"/>
              </w:rPr>
            </w:pPr>
          </w:p>
        </w:tc>
        <w:tc>
          <w:tcPr>
            <w:tcW w:w="8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131,074</w:t>
            </w:r>
          </w:p>
        </w:tc>
        <w:tc>
          <w:tcPr>
            <w:tcW w:w="1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299</w:t>
            </w: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299</w:t>
            </w:r>
          </w:p>
        </w:tc>
        <w:tc>
          <w:tcPr>
            <w:tcW w:w="0" w:type="dxa"/>
            <w:vAlign w:val="bottom"/>
          </w:tcPr>
          <w:p>
            <w:pPr>
              <w:spacing w:after="0"/>
              <w:rPr>
                <w:sz w:val="1"/>
                <w:szCs w:val="1"/>
                <w:color w:val="auto"/>
              </w:rPr>
            </w:pP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74,512</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199</w:t>
            </w:r>
          </w:p>
        </w:tc>
        <w:tc>
          <w:tcPr>
            <w:tcW w:w="0" w:type="dxa"/>
            <w:vAlign w:val="bottom"/>
          </w:tcPr>
          <w:p>
            <w:pPr>
              <w:spacing w:after="0"/>
              <w:rPr>
                <w:sz w:val="1"/>
                <w:szCs w:val="1"/>
                <w:color w:val="auto"/>
              </w:rPr>
            </w:pPr>
          </w:p>
        </w:tc>
      </w:tr>
      <w:tr>
        <w:trPr>
          <w:trHeight w:val="121"/>
        </w:trPr>
        <w:tc>
          <w:tcPr>
            <w:tcW w:w="4100" w:type="dxa"/>
            <w:vAlign w:val="bottom"/>
          </w:tcPr>
          <w:p>
            <w:pPr>
              <w:spacing w:after="0" w:line="122" w:lineRule="exact"/>
              <w:rPr>
                <w:sz w:val="20"/>
                <w:szCs w:val="20"/>
                <w:color w:val="auto"/>
              </w:rPr>
            </w:pPr>
            <w:r>
              <w:rPr>
                <w:rFonts w:ascii="Arial" w:cs="Arial" w:eastAsia="Arial" w:hAnsi="Arial"/>
                <w:sz w:val="11"/>
                <w:szCs w:val="11"/>
                <w:color w:val="auto"/>
              </w:rPr>
              <w:t>Unrealized gain on short-term investments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(95)</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(95)</w:t>
            </w:r>
          </w:p>
        </w:tc>
        <w:tc>
          <w:tcPr>
            <w:tcW w:w="0" w:type="dxa"/>
            <w:vAlign w:val="bottom"/>
          </w:tcPr>
          <w:p>
            <w:pPr>
              <w:spacing w:after="0"/>
              <w:rPr>
                <w:sz w:val="1"/>
                <w:szCs w:val="1"/>
                <w:color w:val="auto"/>
              </w:rPr>
            </w:pP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3,978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3,978</w:t>
            </w:r>
          </w:p>
        </w:tc>
        <w:tc>
          <w:tcPr>
            <w:tcW w:w="0" w:type="dxa"/>
            <w:vAlign w:val="bottom"/>
          </w:tcPr>
          <w:p>
            <w:pPr>
              <w:spacing w:after="0"/>
              <w:rPr>
                <w:sz w:val="1"/>
                <w:szCs w:val="1"/>
                <w:color w:val="auto"/>
              </w:rPr>
            </w:pP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(32,720)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(32,720)</w:t>
            </w:r>
          </w:p>
        </w:tc>
        <w:tc>
          <w:tcPr>
            <w:tcW w:w="0" w:type="dxa"/>
            <w:vAlign w:val="bottom"/>
          </w:tcPr>
          <w:p>
            <w:pPr>
              <w:spacing w:after="0"/>
              <w:rPr>
                <w:sz w:val="1"/>
                <w:szCs w:val="1"/>
                <w:color w:val="auto"/>
              </w:rPr>
            </w:pPr>
          </w:p>
        </w:tc>
      </w:tr>
      <w:tr>
        <w:trPr>
          <w:trHeight w:val="115"/>
        </w:trPr>
        <w:tc>
          <w:tcPr>
            <w:tcW w:w="4100" w:type="dxa"/>
            <w:vAlign w:val="bottom"/>
          </w:tcPr>
          <w:p>
            <w:pPr>
              <w:spacing w:after="0" w:line="115" w:lineRule="exact"/>
              <w:rPr>
                <w:sz w:val="20"/>
                <w:szCs w:val="20"/>
                <w:color w:val="auto"/>
              </w:rPr>
            </w:pPr>
            <w:r>
              <w:rPr>
                <w:rFonts w:ascii="Arial" w:cs="Arial" w:eastAsia="Arial" w:hAnsi="Arial"/>
                <w:sz w:val="11"/>
                <w:szCs w:val="11"/>
                <w:b w:val="1"/>
                <w:bCs w:val="1"/>
                <w:color w:val="auto"/>
              </w:rPr>
              <w:t>Balance, September 30, 2023</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59,514,582</w:t>
            </w:r>
          </w:p>
        </w:tc>
        <w:tc>
          <w:tcPr>
            <w:tcW w:w="14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836,901</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(616,373)</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(1,304)</w:t>
            </w:r>
          </w:p>
        </w:tc>
        <w:tc>
          <w:tcPr>
            <w:tcW w:w="1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219,230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347980</wp:posOffset>
            </wp:positionV>
            <wp:extent cx="64808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8" w:right="8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485140</wp:posOffset>
            </wp:positionV>
            <wp:extent cx="64808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4"/>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105"/>
              <w:spacing w:after="0"/>
              <w:rPr>
                <w:sz w:val="20"/>
                <w:szCs w:val="20"/>
                <w:color w:val="auto"/>
              </w:rPr>
            </w:pPr>
            <w:r>
              <w:rPr>
                <w:rFonts w:ascii="Arial" w:cs="Arial" w:eastAsia="Arial" w:hAnsi="Arial"/>
                <w:sz w:val="14"/>
                <w:szCs w:val="14"/>
                <w:color w:val="auto"/>
                <w:w w:val="96"/>
              </w:rPr>
              <w:t>Total</w:t>
            </w:r>
          </w:p>
        </w:tc>
      </w:tr>
      <w:tr>
        <w:trPr>
          <w:trHeight w:val="167"/>
        </w:trPr>
        <w:tc>
          <w:tcPr>
            <w:tcW w:w="410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64"/>
              <w:spacing w:after="0"/>
              <w:rPr>
                <w:sz w:val="20"/>
                <w:szCs w:val="20"/>
                <w:color w:val="auto"/>
              </w:rPr>
            </w:pPr>
            <w:r>
              <w:rPr>
                <w:rFonts w:ascii="Arial" w:cs="Arial" w:eastAsia="Arial" w:hAnsi="Arial"/>
                <w:sz w:val="14"/>
                <w:szCs w:val="14"/>
                <w:color w:val="auto"/>
              </w:rPr>
              <w:t>Paid-in</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rPr>
              <w:t>Stockholders’</w:t>
            </w:r>
          </w:p>
        </w:tc>
      </w:tr>
      <w:tr>
        <w:trPr>
          <w:trHeight w:val="155"/>
        </w:trPr>
        <w:tc>
          <w:tcPr>
            <w:tcW w:w="4100" w:type="dxa"/>
            <w:vAlign w:val="bottom"/>
          </w:tcPr>
          <w:p>
            <w:pPr>
              <w:spacing w:after="0"/>
              <w:rPr>
                <w:sz w:val="13"/>
                <w:szCs w:val="13"/>
                <w:color w:val="auto"/>
              </w:rPr>
            </w:pPr>
          </w:p>
        </w:tc>
        <w:tc>
          <w:tcPr>
            <w:tcW w:w="800" w:type="dxa"/>
            <w:vAlign w:val="bottom"/>
          </w:tcPr>
          <w:p>
            <w:pPr>
              <w:jc w:val="right"/>
              <w:ind w:right="5"/>
              <w:spacing w:after="0" w:line="155" w:lineRule="exact"/>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5"/>
              <w:spacing w:after="0" w:line="155" w:lineRule="exact"/>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64"/>
              <w:spacing w:after="0" w:line="155" w:lineRule="exact"/>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225"/>
              <w:spacing w:after="0" w:line="155" w:lineRule="exact"/>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center"/>
              <w:ind w:right="200"/>
              <w:spacing w:after="0" w:line="155" w:lineRule="exact"/>
              <w:rPr>
                <w:sz w:val="20"/>
                <w:szCs w:val="20"/>
                <w:color w:val="auto"/>
              </w:rPr>
            </w:pPr>
            <w:r>
              <w:rPr>
                <w:rFonts w:ascii="Arial" w:cs="Arial" w:eastAsia="Arial" w:hAnsi="Arial"/>
                <w:sz w:val="14"/>
                <w:szCs w:val="14"/>
                <w:color w:val="auto"/>
              </w:rPr>
              <w:t>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85"/>
              <w:spacing w:after="0" w:line="155" w:lineRule="exact"/>
              <w:rPr>
                <w:sz w:val="20"/>
                <w:szCs w:val="20"/>
                <w:color w:val="auto"/>
              </w:rPr>
            </w:pPr>
            <w:r>
              <w:rPr>
                <w:rFonts w:ascii="Arial" w:cs="Arial" w:eastAsia="Arial" w:hAnsi="Arial"/>
                <w:sz w:val="14"/>
                <w:szCs w:val="14"/>
                <w:color w:val="auto"/>
              </w:rPr>
              <w:t>Equity</w:t>
            </w:r>
          </w:p>
        </w:tc>
      </w:tr>
      <w:tr>
        <w:trPr>
          <w:trHeight w:val="115"/>
        </w:trPr>
        <w:tc>
          <w:tcPr>
            <w:tcW w:w="41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2021</w:t>
            </w: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55,005,523</w:t>
            </w:r>
          </w:p>
        </w:tc>
        <w:tc>
          <w:tcPr>
            <w:tcW w:w="320" w:type="dxa"/>
            <w:vAlign w:val="bottom"/>
            <w:tcBorders>
              <w:top w:val="single" w:sz="8" w:color="auto"/>
            </w:tcBorders>
            <w:gridSpan w:val="2"/>
            <w:shd w:val="clear" w:color="auto" w:fill="CCEEFF"/>
          </w:tcPr>
          <w:p>
            <w:pPr>
              <w:jc w:val="right"/>
              <w:ind w:right="71"/>
              <w:spacing w:after="0" w:line="115" w:lineRule="exact"/>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785,049</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(388,166)</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(650)</w:t>
            </w: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396,238</w:t>
            </w: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Issuance of stock to collaboration partner</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2,160,760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26,812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26,813</w:t>
            </w: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common stock upon the exercise of stock options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85,396</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65</w:t>
            </w: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Vesting of restricted stock</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161,159</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21"/>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173,192</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673</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673</w:t>
            </w: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2,380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2,380</w:t>
            </w: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(1,986)</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(1,986)</w:t>
            </w: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(6)</w:t>
            </w:r>
          </w:p>
        </w:tc>
      </w:tr>
      <w:tr>
        <w:trPr>
          <w:trHeight w:val="121"/>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(37,513)</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(37,513)</w:t>
            </w:r>
          </w:p>
        </w:tc>
      </w:tr>
      <w:tr>
        <w:trPr>
          <w:trHeight w:val="155"/>
        </w:trPr>
        <w:tc>
          <w:tcPr>
            <w:tcW w:w="410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Balance, March 31, 2022</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57,586,030</w:t>
            </w:r>
          </w:p>
        </w:tc>
        <w:tc>
          <w:tcPr>
            <w:tcW w:w="1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814,979</w:t>
            </w:r>
          </w:p>
        </w:tc>
        <w:tc>
          <w:tcPr>
            <w:tcW w:w="1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(425,679)</w:t>
            </w:r>
          </w:p>
        </w:tc>
        <w:tc>
          <w:tcPr>
            <w:tcW w:w="1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(2,642)</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386,664</w:t>
            </w:r>
          </w:p>
        </w:tc>
      </w:tr>
      <w:tr>
        <w:trPr>
          <w:trHeight w:val="102"/>
        </w:trPr>
        <w:tc>
          <w:tcPr>
            <w:tcW w:w="410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Issuance of stock to collaboration partner</w:t>
            </w: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31,381</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47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47</w:t>
            </w: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Vesting of restricted stock</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136,425</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21"/>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104,085</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250</w:t>
            </w: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2,771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2,771</w:t>
            </w: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(780)</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(780)</w:t>
            </w: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(12)</w:t>
            </w: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(30,988)</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(30,988)</w:t>
            </w:r>
          </w:p>
        </w:tc>
      </w:tr>
      <w:tr>
        <w:trPr>
          <w:trHeight w:val="155"/>
        </w:trPr>
        <w:tc>
          <w:tcPr>
            <w:tcW w:w="410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Balance, June 30, 2022</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57,857,921</w:t>
            </w:r>
          </w:p>
        </w:tc>
        <w:tc>
          <w:tcPr>
            <w:tcW w:w="1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818,047</w:t>
            </w:r>
          </w:p>
        </w:tc>
        <w:tc>
          <w:tcPr>
            <w:tcW w:w="1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(456,667)</w:t>
            </w:r>
          </w:p>
        </w:tc>
        <w:tc>
          <w:tcPr>
            <w:tcW w:w="1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(3,434)</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357,952</w:t>
            </w:r>
          </w:p>
        </w:tc>
      </w:tr>
      <w:tr>
        <w:trPr>
          <w:trHeight w:val="102"/>
        </w:trPr>
        <w:tc>
          <w:tcPr>
            <w:tcW w:w="410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Issuance of common stock upon the exercise of stock options</w:t>
            </w: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86,224</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138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138</w:t>
            </w: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Vesting of restricted stock</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136,425</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104,085</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248</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248</w:t>
            </w:r>
          </w:p>
        </w:tc>
      </w:tr>
      <w:tr>
        <w:trPr>
          <w:trHeight w:val="121"/>
        </w:trPr>
        <w:tc>
          <w:tcPr>
            <w:tcW w:w="410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2,786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2,786</w:t>
            </w: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(165)</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(165)</w:t>
            </w:r>
          </w:p>
        </w:tc>
      </w:tr>
      <w:tr>
        <w:trPr>
          <w:trHeight w:val="122"/>
        </w:trPr>
        <w:tc>
          <w:tcPr>
            <w:tcW w:w="410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(5)</w:t>
            </w:r>
          </w:p>
        </w:tc>
      </w:tr>
      <w:tr>
        <w:trPr>
          <w:trHeight w:val="122"/>
        </w:trPr>
        <w:tc>
          <w:tcPr>
            <w:tcW w:w="4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(30,749)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(30,749)</w:t>
            </w:r>
          </w:p>
        </w:tc>
      </w:tr>
      <w:tr>
        <w:trPr>
          <w:trHeight w:val="115"/>
        </w:trPr>
        <w:tc>
          <w:tcPr>
            <w:tcW w:w="4100" w:type="dxa"/>
            <w:vAlign w:val="bottom"/>
          </w:tcPr>
          <w:p>
            <w:pPr>
              <w:spacing w:after="0" w:line="115" w:lineRule="exact"/>
              <w:rPr>
                <w:sz w:val="20"/>
                <w:szCs w:val="20"/>
                <w:color w:val="auto"/>
              </w:rPr>
            </w:pPr>
            <w:r>
              <w:rPr>
                <w:rFonts w:ascii="Arial" w:cs="Arial" w:eastAsia="Arial" w:hAnsi="Arial"/>
                <w:sz w:val="11"/>
                <w:szCs w:val="11"/>
                <w:b w:val="1"/>
                <w:bCs w:val="1"/>
                <w:color w:val="auto"/>
              </w:rPr>
              <w:t>Balance, September 30, 2022</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58,184,655</w:t>
            </w:r>
          </w:p>
        </w:tc>
        <w:tc>
          <w:tcPr>
            <w:tcW w:w="14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821,219</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(487,416)</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(3,604)</w:t>
            </w:r>
          </w:p>
        </w:tc>
        <w:tc>
          <w:tcPr>
            <w:tcW w:w="1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330,205</w:t>
            </w:r>
          </w:p>
        </w:tc>
      </w:tr>
      <w:tr>
        <w:trPr>
          <w:trHeight w:val="20"/>
        </w:trPr>
        <w:tc>
          <w:tcPr>
            <w:tcW w:w="4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347980</wp:posOffset>
            </wp:positionV>
            <wp:extent cx="64808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8" w:right="85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color w:val="auto"/>
              </w:rPr>
              <w:t>Nine Months Ended</w:t>
            </w:r>
          </w:p>
        </w:tc>
        <w:tc>
          <w:tcPr>
            <w:tcW w:w="140" w:type="dxa"/>
            <w:vAlign w:val="bottom"/>
          </w:tcPr>
          <w:p>
            <w:pPr>
              <w:spacing w:after="0"/>
              <w:rPr>
                <w:sz w:val="14"/>
                <w:szCs w:val="14"/>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color w:val="auto"/>
              </w:rPr>
              <w:t>Nine Months Ended</w:t>
            </w:r>
          </w:p>
        </w:tc>
      </w:t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color w:val="auto"/>
              </w:rPr>
              <w:t>September 30, 2023</w:t>
            </w:r>
          </w:p>
        </w:tc>
        <w:tc>
          <w:tcPr>
            <w:tcW w:w="140" w:type="dxa"/>
            <w:vAlign w:val="bottom"/>
          </w:tcPr>
          <w:p>
            <w:pPr>
              <w:spacing w:after="0"/>
              <w:rPr>
                <w:sz w:val="14"/>
                <w:szCs w:val="14"/>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color w:val="auto"/>
              </w:rPr>
              <w:t>September 30, 2022</w:t>
            </w:r>
          </w:p>
        </w:tc>
      </w:tr>
      <w:tr>
        <w:trPr>
          <w:trHeight w:val="167"/>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4"/>
                <w:szCs w:val="14"/>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color w:val="auto"/>
              </w:rPr>
              <w:t>(unaudited)</w:t>
            </w:r>
          </w:p>
        </w:tc>
      </w:tr>
      <w:tr>
        <w:trPr>
          <w:trHeight w:val="155"/>
        </w:trPr>
        <w:tc>
          <w:tcPr>
            <w:tcW w:w="49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(97,275)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900" w:type="dxa"/>
            <w:vAlign w:val="bottom"/>
            <w:gridSpan w:val="2"/>
          </w:tcPr>
          <w:p>
            <w:pPr>
              <w:jc w:val="right"/>
              <w:ind w:right="380"/>
              <w:spacing w:after="0"/>
              <w:rPr>
                <w:sz w:val="20"/>
                <w:szCs w:val="20"/>
                <w:color w:val="auto"/>
              </w:rPr>
            </w:pPr>
            <w:r>
              <w:rPr>
                <w:rFonts w:ascii="Arial" w:cs="Arial" w:eastAsia="Arial" w:hAnsi="Arial"/>
                <w:sz w:val="14"/>
                <w:szCs w:val="14"/>
                <w:color w:val="auto"/>
              </w:rPr>
              <w:t>(99,250)</w:t>
            </w: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Adjustments to reconcile net loss to net cash used in operating</w:t>
            </w: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75"/>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activities:</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9,492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5,602</w:t>
            </w: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deferred financing cost</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380" w:type="dxa"/>
            <w:vAlign w:val="bottom"/>
            <w:shd w:val="clear" w:color="auto" w:fill="CCEEFF"/>
          </w:tcPr>
          <w:p>
            <w:pPr>
              <w:spacing w:after="0"/>
              <w:rPr>
                <w:sz w:val="14"/>
                <w:szCs w:val="14"/>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Non-cash operating lease expense</w:t>
            </w:r>
          </w:p>
        </w:tc>
        <w:tc>
          <w:tcPr>
            <w:tcW w:w="1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1,086</w:t>
            </w: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based compensation</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7,937</w:t>
            </w:r>
          </w:p>
        </w:tc>
        <w:tc>
          <w:tcPr>
            <w:tcW w:w="380" w:type="dxa"/>
            <w:vAlign w:val="bottom"/>
            <w:shd w:val="clear" w:color="auto" w:fill="CCEEFF"/>
          </w:tcPr>
          <w:p>
            <w:pPr>
              <w:spacing w:after="0"/>
              <w:rPr>
                <w:sz w:val="14"/>
                <w:szCs w:val="14"/>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Impairment</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4,220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Change in operating assets and liabilities: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Escrow deposit</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376</w:t>
            </w: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(395)</w:t>
            </w: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Operating lease liability</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11,447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3,194</w:t>
            </w: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(1,967)</w:t>
            </w: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118,509</w:t>
            </w:r>
          </w:p>
        </w:tc>
        <w:tc>
          <w:tcPr>
            <w:tcW w:w="380" w:type="dxa"/>
            <w:vAlign w:val="bottom"/>
            <w:shd w:val="clear" w:color="auto" w:fill="CCEEFF"/>
          </w:tcPr>
          <w:p>
            <w:pPr>
              <w:spacing w:after="0"/>
              <w:rPr>
                <w:sz w:val="14"/>
                <w:szCs w:val="14"/>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526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4"/>
                <w:szCs w:val="14"/>
                <w:color w:val="auto"/>
              </w:rPr>
              <w:t>(3,155)</w:t>
            </w: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1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1,657</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2,825</w:t>
            </w:r>
          </w:p>
        </w:tc>
        <w:tc>
          <w:tcPr>
            <w:tcW w:w="380" w:type="dxa"/>
            <w:vAlign w:val="bottom"/>
            <w:shd w:val="clear" w:color="auto" w:fill="CCEEFF"/>
          </w:tcPr>
          <w:p>
            <w:pPr>
              <w:spacing w:after="0"/>
              <w:rPr>
                <w:sz w:val="14"/>
                <w:szCs w:val="14"/>
                <w:color w:val="auto"/>
              </w:rPr>
            </w:pPr>
          </w:p>
        </w:tc>
      </w:tr>
      <w:tr>
        <w:trPr>
          <w:trHeight w:val="156"/>
        </w:trPr>
        <w:tc>
          <w:tcPr>
            <w:tcW w:w="498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b w:val="1"/>
                <w:bCs w:val="1"/>
                <w:color w:val="auto"/>
              </w:rPr>
              <w:t>Net cash (used in) provided by operating activities</w:t>
            </w: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(62,118)</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36,959</w:t>
            </w:r>
          </w:p>
        </w:tc>
        <w:tc>
          <w:tcPr>
            <w:tcW w:w="380" w:type="dxa"/>
            <w:vAlign w:val="bottom"/>
            <w:tcBorders>
              <w:bottom w:val="single" w:sz="8" w:color="CCEEFF"/>
            </w:tcBorders>
          </w:tcPr>
          <w:p>
            <w:pPr>
              <w:spacing w:after="0"/>
              <w:rPr>
                <w:sz w:val="13"/>
                <w:szCs w:val="13"/>
                <w:color w:val="auto"/>
              </w:rPr>
            </w:pPr>
          </w:p>
        </w:tc>
      </w:tr>
      <w:tr>
        <w:trPr>
          <w:trHeight w:val="155"/>
        </w:trPr>
        <w:tc>
          <w:tcPr>
            <w:tcW w:w="4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62"/>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property and equipment</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(12,756)</w:t>
            </w:r>
          </w:p>
        </w:tc>
        <w:tc>
          <w:tcPr>
            <w:tcW w:w="14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(24,336)</w:t>
            </w: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Acquisition of fixed maturity securities, available for sale</w:t>
            </w:r>
          </w:p>
        </w:tc>
        <w:tc>
          <w:tcPr>
            <w:tcW w:w="1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(199,342)</w:t>
            </w:r>
          </w:p>
        </w:tc>
        <w:tc>
          <w:tcPr>
            <w:tcW w:w="140" w:type="dxa"/>
            <w:vAlign w:val="bottom"/>
          </w:tcPr>
          <w:p>
            <w:pPr>
              <w:spacing w:after="0"/>
              <w:rPr>
                <w:sz w:val="14"/>
                <w:szCs w:val="14"/>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4"/>
                <w:szCs w:val="14"/>
                <w:color w:val="auto"/>
              </w:rPr>
              <w:t>(203,663)</w:t>
            </w: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 of fixed maturity securities, available for sale</w:t>
            </w:r>
          </w:p>
        </w:tc>
        <w:tc>
          <w:tcPr>
            <w:tcW w:w="1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254,627</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219,144</w:t>
            </w:r>
          </w:p>
        </w:tc>
        <w:tc>
          <w:tcPr>
            <w:tcW w:w="380" w:type="dxa"/>
            <w:vAlign w:val="bottom"/>
            <w:shd w:val="clear" w:color="auto" w:fill="CCEEFF"/>
          </w:tcPr>
          <w:p>
            <w:pPr>
              <w:spacing w:after="0"/>
              <w:rPr>
                <w:sz w:val="14"/>
                <w:szCs w:val="14"/>
                <w:color w:val="auto"/>
              </w:rPr>
            </w:pPr>
          </w:p>
        </w:tc>
      </w:tr>
      <w:tr>
        <w:trPr>
          <w:trHeight w:val="155"/>
        </w:trPr>
        <w:tc>
          <w:tcPr>
            <w:tcW w:w="49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Net cash provided by (used in) investing activities</w:t>
            </w: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42,529</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(8,855)</w:t>
            </w:r>
          </w:p>
        </w:tc>
        <w:tc>
          <w:tcPr>
            <w:tcW w:w="380" w:type="dxa"/>
            <w:vAlign w:val="bottom"/>
            <w:tcBorders>
              <w:bottom w:val="single" w:sz="8" w:color="CCEEFF"/>
            </w:tcBorders>
          </w:tcPr>
          <w:p>
            <w:pPr>
              <w:spacing w:after="0"/>
              <w:rPr>
                <w:sz w:val="13"/>
                <w:szCs w:val="13"/>
                <w:color w:val="auto"/>
              </w:rPr>
            </w:pPr>
          </w:p>
        </w:tc>
      </w:tr>
      <w:tr>
        <w:trPr>
          <w:trHeight w:val="155"/>
        </w:trPr>
        <w:tc>
          <w:tcPr>
            <w:tcW w:w="4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62"/>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Proceeds from issuance of common stock and ESPP</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872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250</w:t>
            </w: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on long term debt</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(10,241)</w:t>
            </w:r>
          </w:p>
        </w:tc>
        <w:tc>
          <w:tcPr>
            <w:tcW w:w="14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Proceeds from issuance of shares to collaboration partner</w:t>
            </w:r>
          </w:p>
        </w:tc>
        <w:tc>
          <w:tcPr>
            <w:tcW w:w="120" w:type="dxa"/>
            <w:vAlign w:val="bottom"/>
          </w:tcPr>
          <w:p>
            <w:pPr>
              <w:spacing w:after="0"/>
              <w:rPr>
                <w:sz w:val="14"/>
                <w:szCs w:val="14"/>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26,813</w:t>
            </w:r>
          </w:p>
        </w:tc>
        <w:tc>
          <w:tcPr>
            <w:tcW w:w="380" w:type="dxa"/>
            <w:vAlign w:val="bottom"/>
          </w:tcPr>
          <w:p>
            <w:pPr>
              <w:spacing w:after="0"/>
              <w:rPr>
                <w:sz w:val="14"/>
                <w:szCs w:val="14"/>
                <w:color w:val="auto"/>
              </w:rPr>
            </w:pPr>
          </w:p>
        </w:tc>
      </w:tr>
      <w:tr>
        <w:trPr>
          <w:trHeight w:val="155"/>
        </w:trPr>
        <w:tc>
          <w:tcPr>
            <w:tcW w:w="4980" w:type="dxa"/>
            <w:vAlign w:val="bottom"/>
            <w:tcBorders>
              <w:top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1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(9,369)</w:t>
            </w: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27,063</w:t>
            </w:r>
          </w:p>
        </w:tc>
        <w:tc>
          <w:tcPr>
            <w:tcW w:w="380" w:type="dxa"/>
            <w:vAlign w:val="bottom"/>
            <w:tcBorders>
              <w:top w:val="single" w:sz="8" w:color="CCEEFF"/>
            </w:tcBorders>
            <w:shd w:val="clear" w:color="auto" w:fill="CCEEFF"/>
          </w:tcPr>
          <w:p>
            <w:pPr>
              <w:spacing w:after="0"/>
              <w:rPr>
                <w:sz w:val="13"/>
                <w:szCs w:val="13"/>
                <w:color w:val="auto"/>
              </w:rPr>
            </w:pPr>
          </w:p>
        </w:tc>
      </w:tr>
      <w:tr>
        <w:trPr>
          <w:trHeight w:val="162"/>
        </w:trPr>
        <w:tc>
          <w:tcPr>
            <w:tcW w:w="4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r>
      <w:tr>
        <w:trPr>
          <w:trHeight w:val="129"/>
        </w:trPr>
        <w:tc>
          <w:tcPr>
            <w:tcW w:w="4980" w:type="dxa"/>
            <w:vAlign w:val="bottom"/>
            <w:shd w:val="clear" w:color="auto" w:fill="CCEEFF"/>
          </w:tcPr>
          <w:p>
            <w:pPr>
              <w:ind w:left="340"/>
              <w:spacing w:after="0" w:line="129" w:lineRule="exact"/>
              <w:rPr>
                <w:sz w:val="20"/>
                <w:szCs w:val="20"/>
                <w:color w:val="auto"/>
              </w:rPr>
            </w:pPr>
            <w:r>
              <w:rPr>
                <w:rFonts w:ascii="Arial" w:cs="Arial" w:eastAsia="Arial" w:hAnsi="Arial"/>
                <w:sz w:val="14"/>
                <w:szCs w:val="14"/>
                <w:b w:val="1"/>
                <w:bCs w:val="1"/>
                <w:color w:val="auto"/>
              </w:rPr>
              <w:t>Net (decrease) increase in cash, cash equivalents, and</w:t>
            </w: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r>
      <w:tr>
        <w:trPr>
          <w:trHeight w:val="175"/>
        </w:trPr>
        <w:tc>
          <w:tcPr>
            <w:tcW w:w="498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restricted cash</w:t>
            </w:r>
          </w:p>
        </w:tc>
        <w:tc>
          <w:tcPr>
            <w:tcW w:w="1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(28,958)</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55,167</w:t>
            </w:r>
          </w:p>
        </w:tc>
        <w:tc>
          <w:tcPr>
            <w:tcW w:w="380" w:type="dxa"/>
            <w:vAlign w:val="bottom"/>
            <w:shd w:val="clear" w:color="auto" w:fill="CCEEFF"/>
          </w:tcPr>
          <w:p>
            <w:pPr>
              <w:spacing w:after="0"/>
              <w:rPr>
                <w:sz w:val="15"/>
                <w:szCs w:val="15"/>
                <w:color w:val="auto"/>
              </w:rPr>
            </w:pPr>
          </w:p>
        </w:tc>
      </w:t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86,244</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58,162</w:t>
            </w:r>
          </w:p>
        </w:tc>
        <w:tc>
          <w:tcPr>
            <w:tcW w:w="380" w:type="dxa"/>
            <w:vAlign w:val="bottom"/>
            <w:shd w:val="clear" w:color="auto" w:fill="CCEEFF"/>
          </w:tcPr>
          <w:p>
            <w:pPr>
              <w:spacing w:after="0"/>
              <w:rPr>
                <w:sz w:val="14"/>
                <w:szCs w:val="14"/>
                <w:color w:val="auto"/>
              </w:rPr>
            </w:pPr>
          </w:p>
        </w:tc>
      </w:tr>
      <w:tr>
        <w:trPr>
          <w:trHeight w:val="155"/>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2"/>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57,286</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113,329</w:t>
            </w:r>
          </w:p>
        </w:tc>
        <w:tc>
          <w:tcPr>
            <w:tcW w:w="380" w:type="dxa"/>
            <w:vAlign w:val="bottom"/>
            <w:tcBorders>
              <w:bottom w:val="single" w:sz="8" w:color="CCEEFF"/>
            </w:tcBorders>
            <w:shd w:val="clear" w:color="auto" w:fill="CCEEFF"/>
          </w:tcPr>
          <w:p>
            <w:pPr>
              <w:spacing w:after="0"/>
              <w:rPr>
                <w:sz w:val="14"/>
                <w:szCs w:val="14"/>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3"/>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6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202"/>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Cash paid for interest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586</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778</w:t>
            </w:r>
          </w:p>
        </w:tc>
        <w:tc>
          <w:tcPr>
            <w:tcW w:w="380" w:type="dxa"/>
            <w:vAlign w:val="bottom"/>
            <w:tcBorders>
              <w:bottom w:val="single" w:sz="8" w:color="CCEEFF"/>
            </w:tcBorders>
          </w:tcPr>
          <w:p>
            <w:pPr>
              <w:spacing w:after="0"/>
              <w:rPr>
                <w:sz w:val="17"/>
                <w:szCs w:val="17"/>
                <w:color w:val="auto"/>
              </w:rPr>
            </w:pPr>
          </w:p>
        </w:tc>
      </w:tr>
      <w:tr>
        <w:trPr>
          <w:trHeight w:val="143"/>
        </w:trPr>
        <w:tc>
          <w:tcPr>
            <w:tcW w:w="4980" w:type="dxa"/>
            <w:vAlign w:val="bottom"/>
            <w:tcBorders>
              <w:bottom w:val="single" w:sz="8" w:color="CCEEFF"/>
            </w:tcBorders>
            <w:shd w:val="clear" w:color="auto" w:fill="CCEEFF"/>
          </w:tcPr>
          <w:p>
            <w:pPr>
              <w:ind w:left="140"/>
              <w:spacing w:after="0" w:line="143" w:lineRule="exact"/>
              <w:rPr>
                <w:sz w:val="20"/>
                <w:szCs w:val="20"/>
                <w:color w:val="auto"/>
              </w:rPr>
            </w:pPr>
            <w:r>
              <w:rPr>
                <w:rFonts w:ascii="Arial" w:cs="Arial" w:eastAsia="Arial" w:hAnsi="Arial"/>
                <w:sz w:val="14"/>
                <w:szCs w:val="14"/>
                <w:color w:val="auto"/>
              </w:rPr>
              <w:t>Cash paid for income tax</w:t>
            </w: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911</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shd w:val="clear" w:color="auto" w:fill="CCEEFF"/>
          </w:tcPr>
          <w:p>
            <w:pPr>
              <w:spacing w:after="0"/>
              <w:rPr>
                <w:sz w:val="12"/>
                <w:szCs w:val="12"/>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2"/>
        </w:trPr>
        <w:tc>
          <w:tcPr>
            <w:tcW w:w="4980" w:type="dxa"/>
            <w:vAlign w:val="bottom"/>
            <w:tcBorders>
              <w:bottom w:val="single" w:sz="8" w:color="CCEEFF"/>
            </w:tcBorders>
          </w:tcPr>
          <w:p>
            <w:pPr>
              <w:ind w:left="140"/>
              <w:spacing w:after="0" w:line="143" w:lineRule="exact"/>
              <w:rPr>
                <w:sz w:val="20"/>
                <w:szCs w:val="20"/>
                <w:color w:val="auto"/>
              </w:rPr>
            </w:pPr>
            <w:r>
              <w:rPr>
                <w:rFonts w:ascii="Arial" w:cs="Arial" w:eastAsia="Arial" w:hAnsi="Arial"/>
                <w:sz w:val="14"/>
                <w:szCs w:val="14"/>
                <w:color w:val="auto"/>
              </w:rPr>
              <w:t>Release of escrow deposit</w:t>
            </w: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0</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520</w:t>
            </w:r>
          </w:p>
        </w:tc>
        <w:tc>
          <w:tcPr>
            <w:tcW w:w="380" w:type="dxa"/>
            <w:vAlign w:val="bottom"/>
            <w:tcBorders>
              <w:bottom w:val="single" w:sz="8" w:color="CCEEFF"/>
            </w:tcBorders>
          </w:tcPr>
          <w:p>
            <w:pPr>
              <w:spacing w:after="0"/>
              <w:rPr>
                <w:sz w:val="15"/>
                <w:szCs w:val="15"/>
                <w:color w:val="auto"/>
              </w:rPr>
            </w:pPr>
          </w:p>
        </w:tc>
      </w:tr>
      <w:tr>
        <w:trPr>
          <w:trHeight w:val="143"/>
        </w:trPr>
        <w:tc>
          <w:tcPr>
            <w:tcW w:w="4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9"/>
        </w:trPr>
        <w:tc>
          <w:tcPr>
            <w:tcW w:w="49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w:t>
            </w: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75"/>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activities:</w:t>
            </w: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62"/>
        </w:trPr>
        <w:tc>
          <w:tcPr>
            <w:tcW w:w="4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Purchase of property and equipment, accrued and unpaid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1,238</w:t>
            </w:r>
          </w:p>
        </w:tc>
        <w:tc>
          <w:tcPr>
            <w:tcW w:w="380" w:type="dxa"/>
            <w:vAlign w:val="bottom"/>
            <w:tcBorders>
              <w:bottom w:val="single" w:sz="8" w:color="CCEEFF"/>
            </w:tcBorders>
            <w:shd w:val="clear" w:color="auto" w:fill="CCEEFF"/>
          </w:tcPr>
          <w:p>
            <w:pPr>
              <w:spacing w:after="0"/>
              <w:rPr>
                <w:sz w:val="14"/>
                <w:szCs w:val="14"/>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1—Organization and description of the business</w:t>
      </w:r>
    </w:p>
    <w:p>
      <w:pPr>
        <w:spacing w:after="0" w:line="175"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Century Therapeutics, Inc. (the “Company”) is an innovative biotechnology company developing transformative allogeneic cell therapies to create products for the treatment of both solid tumor and hematological malignancies with significant unmet medical need. Since inception, the Company has devoted substantially all of its time and efforts to performing research and development activities, building infrastructure and raising capital. The Company is incorporated in the state of Delaware.</w:t>
      </w:r>
    </w:p>
    <w:p>
      <w:pPr>
        <w:spacing w:after="0" w:line="189"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Century Therapeutics Canada ULC (“Century Canada”) is the Company’s wholly owned subsidiary performing research and development activities in Canada.</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191"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91"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10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Since inception, the Company has incurred net losses. During the three and nine months ended September 30, 2023, the Company incurred a net loss of $32,720 and $97,275, respectively. During the nine months ended September 30, 2023, the Company used $62,118 of cash in operations. Cash and cash equivalents and investments were $284,267 at September 30, 2023. Management expects to incur additional losses in the future to fund its operations and conduct product research and preclinical and clinical development and recognizes the need to raise additional capital to fully implement its business plan. The Company believes it has adequate cash and financial resources to operate for at least the next 12 months from the date of issuance of these consolidated financial statements.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Reduction in force</w:t>
      </w:r>
    </w:p>
    <w:p>
      <w:pPr>
        <w:spacing w:after="0" w:line="177"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In January 2023, the Company's Board of Directors approved, and management implemented a new portfolio prioritization and capital allocation strategy. The resulting changes included pausing investment in CNTY-103 for glioblastoma as well as a discovery program in hematologic malignancies. The Company has shifted focus to CNTY-101 and will accelerate key programs, including one follow-on candidate for lymphoma, CNTY-102, and CNTY-107 for Nectin-4+ solid tumors. In addition, the Company continues its partnered programs with Bristol Myers Squibb. The restructuring plan resulted in a reduction in the Company's workforce of approximately 25%. In connection with the restructuring plan, lab operations in Seattle and Hamilton, Ontario were closed and research activities were consolidated in Philadelphia.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2—Summary of significant accounting policies and basis of presentation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17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(“GAAP”) for interim financial information and with the interim period reporting requirements of Form 10-Q and Article 10 of Regulation S-X. The consolidated balance sheet as of September 30, 2023, the consolidated statements of operations and comprehensive loss, and consolidated statements of changes in stockholders’ equity for the three and nine months ended September 30, 2023 and 2022, and the consolidated statements of cash flows for the nine months ended September 30, 2023 and 2022 are unaudited, but, in the opinion of management, include all adjustments, consisting only of normal recurring adjustments, which the Company considers necessary for a fair presentation of the financial position, operating results and cash flows for the periods presented. The results for any interim period are not necessarily indicative of results for the year ending December 31, 2023 or for any other subsequent interim period. The consolidated balance sheet at December 31, 2022 has been derived from the Company’s audited consolidated financial statements.</w:t>
      </w:r>
    </w:p>
    <w:p>
      <w:pPr>
        <w:spacing w:after="0" w:line="153" w:lineRule="exact"/>
        <w:rPr>
          <w:sz w:val="20"/>
          <w:szCs w:val="20"/>
          <w:color w:val="auto"/>
        </w:rPr>
      </w:pPr>
    </w:p>
    <w:p>
      <w:pPr>
        <w:ind w:left="60" w:right="1099"/>
        <w:spacing w:after="0" w:line="446" w:lineRule="auto"/>
        <w:rPr>
          <w:sz w:val="20"/>
          <w:szCs w:val="20"/>
          <w:color w:val="auto"/>
        </w:rPr>
      </w:pPr>
      <w:r>
        <w:rPr>
          <w:rFonts w:ascii="Arial" w:cs="Arial" w:eastAsia="Arial" w:hAnsi="Arial"/>
          <w:sz w:val="18"/>
          <w:szCs w:val="18"/>
          <w:color w:val="auto"/>
        </w:rPr>
        <w:t xml:space="preserve">Certain prior year information has been reclassified to conform to the fiscal year 2023 presentation. </w:t>
      </w:r>
      <w:r>
        <w:rPr>
          <w:rFonts w:ascii="Arial" w:cs="Arial" w:eastAsia="Arial" w:hAnsi="Arial"/>
          <w:sz w:val="18"/>
          <w:szCs w:val="18"/>
          <w:i w:val="1"/>
          <w:iCs w:val="1"/>
          <w:color w:val="auto"/>
        </w:rPr>
        <w:t>Segment information</w:t>
      </w:r>
    </w:p>
    <w:p>
      <w:pPr>
        <w:ind w:left="60" w:right="199"/>
        <w:spacing w:after="0" w:line="24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191"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77"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September 30, 2023 and December 31, 2022, the Company has not experienced any losses on its deposits of cash and cash equivalents.</w:t>
      </w:r>
    </w:p>
    <w:p>
      <w:pPr>
        <w:spacing w:after="0" w:line="167" w:lineRule="exact"/>
        <w:rPr>
          <w:sz w:val="20"/>
          <w:szCs w:val="20"/>
          <w:color w:val="auto"/>
        </w:rPr>
      </w:pPr>
    </w:p>
    <w:p>
      <w:pPr>
        <w:ind w:left="60" w:right="459"/>
        <w:spacing w:after="0" w:line="241"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49" w:lineRule="exact"/>
        <w:rPr>
          <w:sz w:val="20"/>
          <w:szCs w:val="20"/>
          <w:color w:val="auto"/>
        </w:rPr>
      </w:pPr>
    </w:p>
    <w:p>
      <w:pPr>
        <w:ind w:left="60" w:right="459"/>
        <w:spacing w:after="0" w:line="269" w:lineRule="auto"/>
        <w:rPr>
          <w:sz w:val="20"/>
          <w:szCs w:val="20"/>
          <w:color w:val="auto"/>
        </w:rPr>
      </w:pPr>
      <w:r>
        <w:rPr>
          <w:rFonts w:ascii="Arial" w:cs="Arial" w:eastAsia="Arial" w:hAnsi="Arial"/>
          <w:sz w:val="17"/>
          <w:szCs w:val="17"/>
          <w:color w:val="auto"/>
        </w:rPr>
        <w:t>Products developed by the Company require clearances from the U.S. Food and Drug Administration (the “FDA”) or other international regulatory agencies prior to commercial sales. There can be no assurance the Company’s future products will receive the necessary clearances. If the Company was denied clearance,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clearance was delayed, or if the Company was unable to maintain clearance, it could have a material adverse impact on the Company.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91"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50" w:lineRule="exact"/>
        <w:rPr>
          <w:sz w:val="20"/>
          <w:szCs w:val="20"/>
          <w:color w:val="auto"/>
        </w:rPr>
      </w:pPr>
    </w:p>
    <w:p>
      <w:pPr>
        <w:ind w:left="700" w:right="359" w:hanging="647"/>
        <w:spacing w:after="0" w:line="260"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32" w:lineRule="exact"/>
        <w:rPr>
          <w:sz w:val="20"/>
          <w:szCs w:val="20"/>
          <w:color w:val="auto"/>
        </w:rPr>
      </w:pPr>
    </w:p>
    <w:p>
      <w:pPr>
        <w:ind w:left="700" w:right="279" w:hanging="647"/>
        <w:spacing w:after="0" w:line="260"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32" w:lineRule="exact"/>
        <w:rPr>
          <w:sz w:val="20"/>
          <w:szCs w:val="20"/>
          <w:color w:val="auto"/>
        </w:rPr>
      </w:pPr>
    </w:p>
    <w:p>
      <w:pPr>
        <w:ind w:left="700" w:right="239" w:hanging="647"/>
        <w:spacing w:after="0" w:line="260"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32"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191"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177" w:lineRule="exact"/>
        <w:rPr>
          <w:sz w:val="20"/>
          <w:szCs w:val="20"/>
          <w:color w:val="auto"/>
        </w:rPr>
      </w:pPr>
    </w:p>
    <w:p>
      <w:pPr>
        <w:jc w:val="both"/>
        <w:ind w:left="60" w:right="479"/>
        <w:spacing w:after="0" w:line="247" w:lineRule="auto"/>
        <w:rPr>
          <w:sz w:val="20"/>
          <w:szCs w:val="20"/>
          <w:color w:val="auto"/>
        </w:rPr>
      </w:pPr>
      <w:r>
        <w:rPr>
          <w:rFonts w:ascii="Arial" w:cs="Arial" w:eastAsia="Arial" w:hAnsi="Arial"/>
          <w:sz w:val="18"/>
          <w:szCs w:val="18"/>
          <w:color w:val="auto"/>
        </w:rPr>
        <w:t>As of September 30, 2023 and December 31, 2022, the Company had $1,979 in cash on deposit to secure certain lease commitments. Restricted cash is recorded separately in the Company’s consolidated balance sheets.</w:t>
      </w:r>
    </w:p>
    <w:p>
      <w:pPr>
        <w:spacing w:after="0" w:line="157"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September 30, 2023</w:t>
            </w: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December 31, 2022</w:t>
            </w:r>
          </w:p>
        </w:tc>
      </w:tr>
      <w:tr>
        <w:trPr>
          <w:trHeight w:val="196"/>
        </w:trPr>
        <w:tc>
          <w:tcPr>
            <w:tcW w:w="6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55,307</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84,265</w:t>
            </w:r>
          </w:p>
        </w:tc>
      </w:tr>
      <w:tr>
        <w:trPr>
          <w:trHeight w:val="203"/>
        </w:trPr>
        <w:tc>
          <w:tcPr>
            <w:tcW w:w="61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r>
      <w:tr>
        <w:trPr>
          <w:trHeight w:val="196"/>
        </w:trPr>
        <w:tc>
          <w:tcPr>
            <w:tcW w:w="6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cash equivalents, and restricted cash</w:t>
            </w:r>
          </w:p>
        </w:tc>
        <w:tc>
          <w:tcPr>
            <w:tcW w:w="4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57,286</w:t>
            </w: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86,244</w:t>
            </w:r>
          </w:p>
        </w:tc>
      </w:tr>
      <w:tr>
        <w:trPr>
          <w:trHeight w:val="20"/>
        </w:trPr>
        <w:tc>
          <w:tcPr>
            <w:tcW w:w="6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177"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income (loss) on the consolidated statements of operations and comprehensive loss. The cost of securities sold is based on the specified identification method. Investment income is recognized as earned and discounts or</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41" w:lineRule="auto"/>
        <w:rPr>
          <w:sz w:val="20"/>
          <w:szCs w:val="20"/>
          <w:color w:val="auto"/>
        </w:rPr>
      </w:pPr>
      <w:r>
        <w:rPr>
          <w:rFonts w:ascii="Arial" w:cs="Arial" w:eastAsia="Arial" w:hAnsi="Arial"/>
          <w:sz w:val="18"/>
          <w:szCs w:val="18"/>
          <w:color w:val="auto"/>
        </w:rPr>
        <w:t>premiums arising from the purchase of debt securities are recognized in investment income using the interest method over the remaining term of the security. Securities with an original maturity date greater than</w:t>
      </w:r>
    </w:p>
    <w:p>
      <w:pPr>
        <w:spacing w:after="0" w:line="1" w:lineRule="exact"/>
        <w:rPr>
          <w:sz w:val="20"/>
          <w:szCs w:val="20"/>
          <w:color w:val="auto"/>
        </w:rPr>
      </w:pPr>
    </w:p>
    <w:p>
      <w:pPr>
        <w:ind w:left="60" w:right="899"/>
        <w:spacing w:after="0" w:line="246" w:lineRule="auto"/>
        <w:rPr>
          <w:sz w:val="20"/>
          <w:szCs w:val="20"/>
          <w:color w:val="auto"/>
        </w:rPr>
      </w:pPr>
      <w:r>
        <w:rPr>
          <w:rFonts w:ascii="Arial" w:cs="Arial" w:eastAsia="Arial" w:hAnsi="Arial"/>
          <w:sz w:val="18"/>
          <w:szCs w:val="18"/>
          <w:color w:val="auto"/>
        </w:rPr>
        <w:t>three months that mature within one year of the balance sheet date are classified as short-term, while investments with a maturity date greater than one year are classified as long-term.</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19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 Computer software and equipment includes implementation costs for cloud-based software and network equipment.</w:t>
      </w:r>
    </w:p>
    <w:p>
      <w:pPr>
        <w:spacing w:after="0" w:line="194" w:lineRule="exact"/>
        <w:rPr>
          <w:sz w:val="20"/>
          <w:szCs w:val="20"/>
          <w:color w:val="auto"/>
        </w:rPr>
      </w:pPr>
    </w:p>
    <w:p>
      <w:pPr>
        <w:ind w:left="60" w:right="319"/>
        <w:spacing w:after="0" w:line="243"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77" w:lineRule="exact"/>
        <w:rPr>
          <w:sz w:val="20"/>
          <w:szCs w:val="20"/>
          <w:color w:val="auto"/>
        </w:rPr>
      </w:pPr>
    </w:p>
    <w:p>
      <w:pPr>
        <w:ind w:left="60" w:right="299"/>
        <w:spacing w:after="0" w:line="241"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89"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17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Black-Scholes requires inputs based on certain subjective assumptions, including (i) the expected stock price volatility, (ii) the expected term of the award, (iii) the risk-free interest rate and (iv) expected dividends. Due to the lack of a public market for the Company’s common stock prior to its initial public offering (“IPO”) and lack of company-specific historical and implied volatility data, the Company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191"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Derivatives and Hedging— Contracts in Entity’s Own Equity, as either derivative liabilities or as equity instruments depending on the specific terms of the warrant agreement. The Company’s warrants issued are in connection with its long-term debt and in connection with services provided by consultants, and are equity classified on the accompanying consolidated balance sheets. Equity classified warrants are accounted for at fair value on the issuance date, using Black Scholes, with no changes in fair value recognized after the issuance date.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77"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53" w:lineRule="exact"/>
        <w:rPr>
          <w:sz w:val="20"/>
          <w:szCs w:val="20"/>
          <w:color w:val="auto"/>
        </w:rPr>
      </w:pPr>
    </w:p>
    <w:p>
      <w:pPr>
        <w:jc w:val="both"/>
        <w:ind w:left="60" w:right="259"/>
        <w:spacing w:after="0" w:line="269"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17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is anti-dilutive during periods of net loss, there were no differences between the Company’s basic and diluted net loss per common share for the three and nine months ended September 30, 2023 and 2022.</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exercised options</w:t>
      </w:r>
    </w:p>
    <w:p>
      <w:pPr>
        <w:spacing w:after="0" w:line="191"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The Company allowed certain of its employees and its consultants to exercise options granted under the 2018 Stock Option and Grant Plan (the “2018 Incentive Plan”) (Note 16) prior to vesting and prior to its IPO. The shares related to early exercised stock options are subject to the Company’s repurchase right upon termination of employment or services at the lesser of the original purchase price or fair market value at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stockholders’ equity (deficit) until the awards vest. The deposits received are initially recorded in deposit liability. The liabilities are reclassified to common stock and additional paid-in-capital as the repurchase right lapses. At September 30, 2023 and December 31, 2022, there were $906 and $1,584, respectively, recorded in deposit liability related to shares held by employees and nonemployees that were subject to repurchase.</w:t>
      </w:r>
    </w:p>
    <w:p>
      <w:pPr>
        <w:spacing w:after="0" w:line="170" w:lineRule="exact"/>
        <w:rPr>
          <w:sz w:val="20"/>
          <w:szCs w:val="20"/>
          <w:color w:val="auto"/>
        </w:rPr>
      </w:pPr>
    </w:p>
    <w:p>
      <w:pPr>
        <w:jc w:val="both"/>
        <w:ind w:left="60" w:right="179"/>
        <w:spacing w:after="0" w:line="247" w:lineRule="auto"/>
        <w:rPr>
          <w:sz w:val="20"/>
          <w:szCs w:val="20"/>
          <w:color w:val="auto"/>
        </w:rPr>
      </w:pPr>
      <w:r>
        <w:rPr>
          <w:rFonts w:ascii="Arial" w:cs="Arial" w:eastAsia="Arial" w:hAnsi="Arial"/>
          <w:sz w:val="18"/>
          <w:szCs w:val="18"/>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color w:val="231F20"/>
              </w:rPr>
              <w:t>September 30, 2023</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December 31, 2022</w:t>
            </w:r>
          </w:p>
        </w:tc>
      </w:tr>
      <w:tr>
        <w:trPr>
          <w:trHeight w:val="196"/>
        </w:trPr>
        <w:tc>
          <w:tcPr>
            <w:tcW w:w="6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shares legally outstanding</w:t>
            </w:r>
          </w:p>
        </w:tc>
        <w:tc>
          <w:tcPr>
            <w:tcW w:w="132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59,791,497</w:t>
            </w:r>
          </w:p>
        </w:tc>
        <w:tc>
          <w:tcPr>
            <w:tcW w:w="1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59,137,491</w:t>
            </w:r>
          </w:p>
        </w:tc>
      </w:tr>
      <w:tr>
        <w:trPr>
          <w:trHeight w:val="203"/>
        </w:trPr>
        <w:tc>
          <w:tcPr>
            <w:tcW w:w="6060" w:type="dxa"/>
            <w:vAlign w:val="bottom"/>
          </w:tcPr>
          <w:p>
            <w:pPr>
              <w:ind w:left="20"/>
              <w:spacing w:after="0" w:line="202" w:lineRule="exact"/>
              <w:rPr>
                <w:sz w:val="20"/>
                <w:szCs w:val="20"/>
                <w:color w:val="auto"/>
              </w:rPr>
            </w:pPr>
            <w:r>
              <w:rPr>
                <w:rFonts w:ascii="Arial" w:cs="Arial" w:eastAsia="Arial" w:hAnsi="Arial"/>
                <w:sz w:val="18"/>
                <w:szCs w:val="18"/>
                <w:color w:val="auto"/>
              </w:rPr>
              <w:t>Less: unvested early exercised shares</w:t>
            </w: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231F20"/>
              </w:rPr>
              <w:t>(227,450)</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231F20"/>
              </w:rPr>
              <w:t>(470,800)</w:t>
            </w:r>
          </w:p>
        </w:tc>
      </w:tr>
      <w:tr>
        <w:trPr>
          <w:trHeight w:val="203"/>
        </w:trPr>
        <w:tc>
          <w:tcPr>
            <w:tcW w:w="6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unvested restricted stock awards (Note 16)</w:t>
            </w:r>
          </w:p>
        </w:tc>
        <w:tc>
          <w:tcPr>
            <w:tcW w:w="1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231F20"/>
              </w:rPr>
              <w:t>(49,465)</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(193,031)</w:t>
            </w:r>
          </w:p>
        </w:tc>
      </w:tr>
      <w:tr>
        <w:trPr>
          <w:trHeight w:val="196"/>
        </w:trPr>
        <w:tc>
          <w:tcPr>
            <w:tcW w:w="6060" w:type="dxa"/>
            <w:vAlign w:val="bottom"/>
          </w:tcPr>
          <w:p>
            <w:pPr>
              <w:ind w:left="20"/>
              <w:spacing w:after="0" w:line="196" w:lineRule="exact"/>
              <w:rPr>
                <w:sz w:val="20"/>
                <w:szCs w:val="20"/>
                <w:color w:val="auto"/>
              </w:rPr>
            </w:pPr>
            <w:r>
              <w:rPr>
                <w:rFonts w:ascii="Arial" w:cs="Arial" w:eastAsia="Arial" w:hAnsi="Arial"/>
                <w:sz w:val="18"/>
                <w:szCs w:val="18"/>
                <w:color w:val="auto"/>
              </w:rPr>
              <w:t>Total shares issued and outstanding</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59,514,582</w:t>
            </w:r>
          </w:p>
        </w:tc>
        <w:tc>
          <w:tcPr>
            <w:tcW w:w="16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58,473,660</w:t>
            </w:r>
          </w:p>
        </w:tc>
      </w:tr>
      <w:tr>
        <w:trPr>
          <w:trHeight w:val="20"/>
        </w:trPr>
        <w:tc>
          <w:tcPr>
            <w:tcW w:w="6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17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The Company recognizes deferred tax assets to the extent that the Company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 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The Company recognizes interest and penalties related to unrecognized tax benefits on the income tax expense line in the accompanying consolidated statement of operations and comprehensive loss. As of September 30, 2023 and December 31, 2022, no accrued interest or penalties are included on the related tax liability line in the consolidated balance sheet.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177"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49" w:lineRule="exact"/>
        <w:rPr>
          <w:sz w:val="20"/>
          <w:szCs w:val="20"/>
          <w:color w:val="auto"/>
        </w:rPr>
      </w:pPr>
    </w:p>
    <w:p>
      <w:pPr>
        <w:ind w:left="60" w:right="659"/>
        <w:spacing w:after="0" w:line="289" w:lineRule="auto"/>
        <w:rPr>
          <w:sz w:val="20"/>
          <w:szCs w:val="20"/>
          <w:color w:val="auto"/>
        </w:rPr>
      </w:pPr>
      <w:r>
        <w:rPr>
          <w:rFonts w:ascii="Arial" w:cs="Arial" w:eastAsia="Arial" w:hAnsi="Arial"/>
          <w:sz w:val="17"/>
          <w:szCs w:val="17"/>
          <w:color w:val="auto"/>
        </w:rPr>
        <w:t>The Company recognizes revenue in accordance with ASC Topic 606, Revenue from Contracts with Customers, (“ASC 606”). This standard applies to all contracts with customers. When an agreement falls</w:t>
      </w:r>
    </w:p>
    <w:p>
      <w:pPr>
        <w:sectPr>
          <w:pgSz w:w="11900" w:h="16838" w:orient="portrait"/>
          <w:cols w:equalWidth="0" w:num="1">
            <w:col w:w="9019"/>
          </w:cols>
          <w:pgMar w:left="1440" w:top="518" w:right="1440"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2" w:lineRule="auto"/>
        <w:rPr>
          <w:sz w:val="20"/>
          <w:szCs w:val="20"/>
          <w:color w:val="auto"/>
        </w:rPr>
      </w:pPr>
      <w:r>
        <w:rPr>
          <w:rFonts w:ascii="Arial" w:cs="Arial" w:eastAsia="Arial" w:hAnsi="Arial"/>
          <w:sz w:val="17"/>
          <w:szCs w:val="17"/>
          <w:color w:val="auto"/>
        </w:rPr>
        <w:t>under the scope of other standards, such as ASC Topic 808, Collaborative Arrangements,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14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51" w:lineRule="exact"/>
        <w:rPr>
          <w:sz w:val="20"/>
          <w:szCs w:val="20"/>
          <w:color w:val="auto"/>
        </w:rPr>
      </w:pPr>
    </w:p>
    <w:p>
      <w:pPr>
        <w:ind w:left="60" w:right="159"/>
        <w:spacing w:after="0" w:line="252" w:lineRule="auto"/>
        <w:rPr>
          <w:sz w:val="20"/>
          <w:szCs w:val="20"/>
          <w:color w:val="auto"/>
        </w:rPr>
      </w:pPr>
      <w:r>
        <w:rPr>
          <w:rFonts w:ascii="Arial" w:cs="Arial" w:eastAsia="Arial" w:hAnsi="Arial"/>
          <w:sz w:val="17"/>
          <w:szCs w:val="17"/>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deferred revenue, current. Amounts not expected to be recognized as revenue within the 12 months following the balance sheet date are classified as deferred revenue, non-current.</w:t>
      </w:r>
    </w:p>
    <w:p>
      <w:pPr>
        <w:spacing w:after="0" w:line="14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67" w:lineRule="exact"/>
        <w:rPr>
          <w:sz w:val="20"/>
          <w:szCs w:val="20"/>
          <w:color w:val="auto"/>
        </w:rPr>
      </w:pPr>
    </w:p>
    <w:p>
      <w:pPr>
        <w:ind w:left="60" w:right="159"/>
        <w:spacing w:after="0" w:line="258" w:lineRule="auto"/>
        <w:rPr>
          <w:sz w:val="20"/>
          <w:szCs w:val="20"/>
          <w:color w:val="auto"/>
        </w:rPr>
      </w:pPr>
      <w:r>
        <w:rPr>
          <w:rFonts w:ascii="Arial" w:cs="Arial" w:eastAsia="Arial" w:hAnsi="Arial"/>
          <w:sz w:val="17"/>
          <w:szCs w:val="17"/>
          <w:color w:val="auto"/>
        </w:rPr>
        <w:t>The obligations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137"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60" w:lineRule="auto"/>
        <w:rPr>
          <w:sz w:val="20"/>
          <w:szCs w:val="20"/>
          <w:color w:val="auto"/>
        </w:rPr>
      </w:pPr>
      <w:r>
        <w:rPr>
          <w:rFonts w:ascii="Arial" w:cs="Arial" w:eastAsia="Arial" w:hAnsi="Arial"/>
          <w:sz w:val="18"/>
          <w:szCs w:val="18"/>
          <w:color w:val="auto"/>
        </w:rPr>
        <w:t>adjustments are recorded on a cumulative catch-up basis in the statements of operations in the period of adjustment.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18"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of Financial Instruments (ASC 326). The guidance is effective for the Company beginning January 1, 2023 and it changes how entities account for credit losses on the financial assets and other instruments that are not measured at fair value through net income, including available-for-sale debt securities. The adoption of ASC 326 did not have a material impact on the consolidated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of Long</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Lived Assets</w:t>
      </w:r>
    </w:p>
    <w:p>
      <w:pPr>
        <w:spacing w:after="0" w:line="181"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Company reviews its long-lived assets for impairment annually, or whenever events or circumstances indicate that the carrying amount of an asset may not be fully recoverable. The Company assesses the recoverability of these assets by comparing the carrying amount of such assets or asset group to the future undiscounted cash flows it expects the assets or asset group to generate. The Company recognizes an impairment loss if the sum of the expected long-term discounted cash flows that the long-lived asset is expected to generate is less than the carrying amount of the long-lived asset being evaluated. The Company analyzed its long-lived assets for impairment and recorded a $4,220 impairment charge related to property and equipment and its right-of-use assets in its condensed consolidated statements of operations for the nine months ended September 30, 2023.</w:t>
      </w: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3—Reduction in force</w:t>
      </w:r>
    </w:p>
    <w:p>
      <w:pPr>
        <w:spacing w:after="0" w:line="175"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During the nine months ended September 30, 2023, the Company incurred $2,032 of cash-based expenses related to employee severances, benefits and related costs. In addition, the Company recorded non-cash stock-based compensation charge of $581 related to modification of equity awards for employees impacted by the restructuring during the nine months ended September 30, 2023. There were no remaining outstanding liabilities related to the reduction in force at September 30, 2023.</w:t>
      </w: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4—Asset purchase by Century Therapeutics Canada ULC</w:t>
      </w:r>
    </w:p>
    <w:p>
      <w:pPr>
        <w:spacing w:after="0" w:line="17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June 9, 2020, Century Canada and the Company entered into an agreement with Empirica Therapeutics, Inc.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In July 2021, the first annual installment of $ 523 was released from the Escrow Deposit. In June 2022, the second annual installment of $517 was released from the Escrow Deposit. In February 2023, the third installment of $494 was released from Escrow Deposit. As of September 30, 2023 and December 31, 2022, accrued compensation expense on the promissory note was $0 and $220, which is presented within escrow deposits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5—Financial instruments and fair value measurements</w:t>
      </w:r>
    </w:p>
    <w:p>
      <w:pPr>
        <w:spacing w:after="0" w:line="189"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The following table sets forth the Company’s assets that were measured at fair value as of September 30, 2023 by level within the fair value hierarchy:</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66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1</w:t>
            </w: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2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color w:val="auto"/>
              </w:rPr>
              <w:t>Total</w:t>
            </w:r>
          </w:p>
        </w:tc>
      </w:tr>
      <w:tr>
        <w:trPr>
          <w:trHeight w:val="196"/>
        </w:trPr>
        <w:tc>
          <w:tcPr>
            <w:tcW w:w="3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42,911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42,911</w:t>
            </w: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31,256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5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31,256</w:t>
            </w: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199,245</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199,245</w:t>
            </w:r>
          </w:p>
        </w:tc>
      </w:tr>
      <w:tr>
        <w:trPr>
          <w:trHeight w:val="196"/>
        </w:trPr>
        <w:tc>
          <w:tcPr>
            <w:tcW w:w="36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74,167</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199,245</w:t>
            </w:r>
          </w:p>
        </w:tc>
        <w:tc>
          <w:tcPr>
            <w:tcW w:w="2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59"/>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273,412</w:t>
            </w: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60" w:right="119"/>
        <w:spacing w:after="0" w:line="260"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2022, by level within the fair value hierarchy:</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24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70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color w:val="auto"/>
              </w:rPr>
              <w:t>Level 3</w:t>
            </w: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77,736</w:t>
            </w:r>
          </w:p>
        </w:tc>
        <w:tc>
          <w:tcPr>
            <w:tcW w:w="104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77,736</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14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86,475</w:t>
            </w: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86,475</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196,603</w:t>
            </w:r>
          </w:p>
        </w:tc>
        <w:tc>
          <w:tcPr>
            <w:tcW w:w="2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196,603</w:t>
            </w:r>
          </w:p>
        </w:tc>
      </w:tr>
      <w:tr>
        <w:trPr>
          <w:trHeight w:val="236"/>
        </w:trPr>
        <w:tc>
          <w:tcPr>
            <w:tcW w:w="5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164,211</w:t>
            </w:r>
          </w:p>
        </w:tc>
        <w:tc>
          <w:tcPr>
            <w:tcW w:w="10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$ 196,603</w:t>
            </w:r>
          </w:p>
        </w:tc>
        <w:tc>
          <w:tcPr>
            <w:tcW w:w="28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360,814</w:t>
            </w:r>
          </w:p>
        </w:tc>
      </w:tr>
    </w:tbl>
    <w:p>
      <w:pPr>
        <w:spacing w:after="0" w:line="190" w:lineRule="exact"/>
        <w:rPr>
          <w:sz w:val="20"/>
          <w:szCs w:val="20"/>
          <w:color w:val="auto"/>
        </w:rPr>
      </w:pPr>
    </w:p>
    <w:p>
      <w:pPr>
        <w:jc w:val="both"/>
        <w:ind w:left="60" w:right="219"/>
        <w:spacing w:after="0" w:line="247" w:lineRule="auto"/>
        <w:rPr>
          <w:sz w:val="20"/>
          <w:szCs w:val="20"/>
          <w:color w:val="auto"/>
        </w:rPr>
      </w:pPr>
      <w:r>
        <w:rPr>
          <w:rFonts w:ascii="Arial" w:cs="Arial" w:eastAsia="Arial" w:hAnsi="Arial"/>
          <w:sz w:val="18"/>
          <w:szCs w:val="18"/>
          <w:color w:val="auto"/>
        </w:rPr>
        <w:t>There were no transfers between levels during the period ended September 30, 2023. The Company uses the services of its investment manager, which uses widely accepted models for assumptions in valuing securities with inputs from major third-party data providers.</w:t>
      </w:r>
    </w:p>
    <w:p>
      <w:pPr>
        <w:spacing w:after="0" w:line="144" w:lineRule="exact"/>
        <w:rPr>
          <w:sz w:val="20"/>
          <w:szCs w:val="20"/>
          <w:color w:val="auto"/>
        </w:rPr>
      </w:pPr>
    </w:p>
    <w:p>
      <w:pPr>
        <w:ind w:left="60" w:right="799"/>
        <w:spacing w:after="0" w:line="260"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32"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September 30, 2023:</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9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Gross</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980" w:type="dxa"/>
            <w:vAlign w:val="bottom"/>
            <w:gridSpan w:val="3"/>
          </w:tcPr>
          <w:p>
            <w:pPr>
              <w:jc w:val="right"/>
              <w:ind w:right="24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9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color w:val="auto"/>
              </w:rPr>
              <w:t>Gains</w:t>
            </w:r>
          </w:p>
        </w:tc>
        <w:tc>
          <w:tcPr>
            <w:tcW w:w="1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4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31,319</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31,256</w:t>
            </w: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200,406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(1,169)</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199,245</w:t>
            </w:r>
          </w:p>
        </w:tc>
      </w:tr>
      <w:tr>
        <w:trPr>
          <w:trHeight w:val="196"/>
        </w:trPr>
        <w:tc>
          <w:tcPr>
            <w:tcW w:w="4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231,725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230,501</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60" w:right="119"/>
        <w:spacing w:after="0" w:line="260"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2022:</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9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Gross</w:t>
            </w:r>
          </w:p>
        </w:tc>
        <w:tc>
          <w:tcPr>
            <w:tcW w:w="920" w:type="dxa"/>
            <w:vAlign w:val="bottom"/>
            <w:tcBorders>
              <w:top w:val="single" w:sz="8" w:color="auto"/>
            </w:tcBorders>
            <w:gridSpan w:val="2"/>
          </w:tcPr>
          <w:p>
            <w:pPr>
              <w:ind w:left="28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9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Amortized Cost</w:t>
            </w:r>
          </w:p>
        </w:tc>
        <w:tc>
          <w:tcPr>
            <w:tcW w:w="1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color w:val="auto"/>
              </w:rPr>
              <w:t>Gains</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49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87,798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(1,323)</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86,475</w:t>
            </w: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197,668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(1,067)</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196,603</w:t>
            </w:r>
          </w:p>
        </w:tc>
      </w:tr>
      <w:tr>
        <w:trPr>
          <w:trHeight w:val="196"/>
        </w:trPr>
        <w:tc>
          <w:tcPr>
            <w:tcW w:w="49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285,466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(2,390)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283,078</w:t>
            </w: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maturities of our fixed maturity available-for-sale securities: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960" w:type="dxa"/>
            <w:vAlign w:val="bottom"/>
            <w:tcBorders>
              <w:top w:val="single" w:sz="8" w:color="auto"/>
            </w:tcBorders>
          </w:tcPr>
          <w:p>
            <w:pPr>
              <w:spacing w:after="0"/>
              <w:rPr>
                <w:sz w:val="15"/>
                <w:szCs w:val="15"/>
                <w:color w:val="auto"/>
              </w:rPr>
            </w:pPr>
          </w:p>
        </w:tc>
        <w:tc>
          <w:tcPr>
            <w:tcW w:w="3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September 30, 2023</w:t>
            </w: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December 31, 2022</w:t>
            </w:r>
          </w:p>
        </w:tc>
        <w:tc>
          <w:tcPr>
            <w:tcW w:w="20" w:type="dxa"/>
            <w:vAlign w:val="bottom"/>
          </w:tcPr>
          <w:p>
            <w:pPr>
              <w:spacing w:after="0"/>
              <w:rPr>
                <w:sz w:val="15"/>
                <w:szCs w:val="15"/>
                <w:color w:val="auto"/>
              </w:rPr>
            </w:pPr>
          </w:p>
        </w:tc>
      </w:tr>
      <w:tr>
        <w:trPr>
          <w:trHeight w:val="196"/>
        </w:trPr>
        <w:tc>
          <w:tcPr>
            <w:tcW w:w="29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Less than one year</w:t>
            </w:r>
          </w:p>
        </w:tc>
        <w:tc>
          <w:tcPr>
            <w:tcW w:w="3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114,759</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231,224</w:t>
            </w:r>
          </w:p>
        </w:tc>
        <w:tc>
          <w:tcPr>
            <w:tcW w:w="20" w:type="dxa"/>
            <w:vAlign w:val="bottom"/>
          </w:tcPr>
          <w:p>
            <w:pPr>
              <w:spacing w:after="0"/>
              <w:rPr>
                <w:sz w:val="17"/>
                <w:szCs w:val="17"/>
                <w:color w:val="auto"/>
              </w:rPr>
            </w:pPr>
          </w:p>
        </w:tc>
      </w:tr>
      <w:tr>
        <w:trPr>
          <w:trHeight w:val="203"/>
        </w:trPr>
        <w:tc>
          <w:tcPr>
            <w:tcW w:w="2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One to five years</w:t>
            </w:r>
          </w:p>
        </w:tc>
        <w:tc>
          <w:tcPr>
            <w:tcW w:w="3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115,742</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51,854</w:t>
            </w:r>
          </w:p>
        </w:tc>
        <w:tc>
          <w:tcPr>
            <w:tcW w:w="20" w:type="dxa"/>
            <w:vAlign w:val="bottom"/>
          </w:tcPr>
          <w:p>
            <w:pPr>
              <w:spacing w:after="0"/>
              <w:rPr>
                <w:sz w:val="17"/>
                <w:szCs w:val="17"/>
                <w:color w:val="auto"/>
              </w:rPr>
            </w:pPr>
          </w:p>
        </w:tc>
      </w:tr>
      <w:tr>
        <w:trPr>
          <w:trHeight w:val="196"/>
        </w:trPr>
        <w:tc>
          <w:tcPr>
            <w:tcW w:w="296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230,501</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283,078</w:t>
            </w:r>
          </w:p>
        </w:tc>
        <w:tc>
          <w:tcPr>
            <w:tcW w:w="20" w:type="dxa"/>
            <w:vAlign w:val="bottom"/>
          </w:tcPr>
          <w:p>
            <w:pPr>
              <w:spacing w:after="0"/>
              <w:rPr>
                <w:sz w:val="17"/>
                <w:szCs w:val="17"/>
                <w:color w:val="auto"/>
              </w:rPr>
            </w:pPr>
          </w:p>
        </w:tc>
      </w:tr>
      <w:tr>
        <w:trPr>
          <w:trHeight w:val="844"/>
        </w:trPr>
        <w:tc>
          <w:tcPr>
            <w:tcW w:w="2960" w:type="dxa"/>
            <w:vAlign w:val="bottom"/>
          </w:tcPr>
          <w:p>
            <w:pPr>
              <w:spacing w:after="0"/>
              <w:rPr>
                <w:sz w:val="24"/>
                <w:szCs w:val="24"/>
                <w:color w:val="auto"/>
              </w:rPr>
            </w:pPr>
          </w:p>
        </w:tc>
        <w:tc>
          <w:tcPr>
            <w:tcW w:w="3140" w:type="dxa"/>
            <w:vAlign w:val="bottom"/>
          </w:tcPr>
          <w:p>
            <w:pPr>
              <w:jc w:val="right"/>
              <w:ind w:right="145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9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8"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6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At September 30, 2023 and December 31, 2022, the Company had 71 and 42 available-for-sale investment debt securities in an unrealized loss position without an allowance for credit losses, respectively. Unrealized losses on corporate debt securities have not been recognized into income because the issuers’ bonds are of high credit quality (rated BBB+ or higher) and the decline in fair value is largely due to market conditions and or changes in interest rates. Management does not intend to sell and it is likely that management will not be required to sell the securities prior to the anticipated recovery of their amortized cost basis. The issuers continue to make timely payments on the bonds. The fair value is expected to recover as the bond approach maturity.</w:t>
      </w:r>
    </w:p>
    <w:p>
      <w:pPr>
        <w:spacing w:after="0" w:line="194"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As of September 30, 2023 and December 31, 2022, accrued interest receivable on available-for-sale investment debt securities totaling $1,541 and $0, respectively, is excluded from the estimate of credit losses and is included in prepaid expenses and other current assets.</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6—Prepaid expenses and other current assets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prepaid expenses and other current assets: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1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September 30, 2023</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December 31, 2022</w:t>
            </w:r>
          </w:p>
        </w:tc>
      </w:tr>
      <w:tr>
        <w:trPr>
          <w:trHeight w:val="196"/>
        </w:trPr>
        <w:tc>
          <w:tcPr>
            <w:tcW w:w="6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4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Insurance</w:t>
            </w:r>
          </w:p>
        </w:tc>
        <w:tc>
          <w:tcPr>
            <w:tcW w:w="4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1,489</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1,454</w:t>
            </w:r>
          </w:p>
        </w:tc>
      </w:tr>
      <w:tr>
        <w:trPr>
          <w:trHeight w:val="203"/>
        </w:trPr>
        <w:tc>
          <w:tcPr>
            <w:tcW w:w="6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Software licenses and other</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1,417</w:t>
            </w: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Reimbursement receivable</w:t>
            </w:r>
          </w:p>
        </w:tc>
        <w:tc>
          <w:tcPr>
            <w:tcW w:w="4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780</w:t>
            </w:r>
          </w:p>
        </w:tc>
      </w:tr>
      <w:tr>
        <w:trPr>
          <w:trHeight w:val="203"/>
        </w:trPr>
        <w:tc>
          <w:tcPr>
            <w:tcW w:w="6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Warranties</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w:t>
            </w:r>
          </w:p>
        </w:tc>
      </w:tr>
      <w:tr>
        <w:trPr>
          <w:trHeight w:val="203"/>
        </w:trPr>
        <w:tc>
          <w:tcPr>
            <w:tcW w:w="61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Accrued interest receivable</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1,542</w:t>
            </w: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4,198</w:t>
            </w: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4,003</w:t>
            </w:r>
          </w:p>
        </w:tc>
      </w:tr>
      <w:tr>
        <w:trPr>
          <w:trHeight w:val="20"/>
        </w:trPr>
        <w:tc>
          <w:tcPr>
            <w:tcW w:w="6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7—Property and equipment, net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following is a summary of property and equipment, net:</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1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September 30, 2023</w:t>
            </w: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December 31, 2022</w:t>
            </w:r>
          </w:p>
        </w:tc>
      </w:tr>
      <w:tr>
        <w:trPr>
          <w:trHeight w:val="196"/>
        </w:trPr>
        <w:tc>
          <w:tcPr>
            <w:tcW w:w="61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29,303</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28,811</w:t>
            </w: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68,299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48,951</w:t>
            </w:r>
          </w:p>
        </w:tc>
      </w:tr>
      <w:tr>
        <w:trPr>
          <w:trHeight w:val="203"/>
        </w:trPr>
        <w:tc>
          <w:tcPr>
            <w:tcW w:w="6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13,998</w:t>
            </w: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 and equipment</w:t>
            </w: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3,597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3,132</w:t>
            </w:r>
          </w:p>
        </w:tc>
      </w:tr>
      <w:tr>
        <w:trPr>
          <w:trHeight w:val="203"/>
        </w:trPr>
        <w:tc>
          <w:tcPr>
            <w:tcW w:w="6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1,548</w:t>
            </w:r>
          </w:p>
        </w:tc>
      </w:tr>
      <w:tr>
        <w:trPr>
          <w:trHeight w:val="196"/>
        </w:trPr>
        <w:tc>
          <w:tcPr>
            <w:tcW w:w="61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103,159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96,440</w:t>
            </w:r>
          </w:p>
        </w:tc>
      </w:tr>
      <w:tr>
        <w:trPr>
          <w:trHeight w:val="203"/>
        </w:trPr>
        <w:tc>
          <w:tcPr>
            <w:tcW w:w="6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(21,166)</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(13,655)</w:t>
            </w:r>
          </w:p>
        </w:tc>
      </w:tr>
      <w:tr>
        <w:trPr>
          <w:trHeight w:val="196"/>
        </w:trPr>
        <w:tc>
          <w:tcPr>
            <w:tcW w:w="6160" w:type="dxa"/>
            <w:vAlign w:val="bottom"/>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81,993</w:t>
            </w:r>
          </w:p>
        </w:tc>
        <w:tc>
          <w:tcPr>
            <w:tcW w:w="1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82,785</w:t>
            </w: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Depreciation expense was $ 3,350 and $2,774 for the three months ended September 30, 2023 and 2022, respectively. The Company recognized $ 4,002 in impairment on property and equipment, net during the nine months ended September 30, 2023. See footnote 18, “Impairment of Long-Lived Assets”.</w:t>
      </w:r>
    </w:p>
    <w:p>
      <w:pPr>
        <w:spacing w:after="0" w:line="157" w:lineRule="exact"/>
        <w:rPr>
          <w:sz w:val="20"/>
          <w:szCs w:val="20"/>
          <w:color w:val="auto"/>
        </w:rPr>
      </w:pPr>
    </w:p>
    <w:p>
      <w:pPr>
        <w:ind w:left="60" w:right="639"/>
        <w:spacing w:after="0" w:line="260" w:lineRule="auto"/>
        <w:rPr>
          <w:sz w:val="20"/>
          <w:szCs w:val="20"/>
          <w:color w:val="auto"/>
        </w:rPr>
      </w:pPr>
      <w:r>
        <w:rPr>
          <w:rFonts w:ascii="Arial" w:cs="Arial" w:eastAsia="Arial" w:hAnsi="Arial"/>
          <w:sz w:val="18"/>
          <w:szCs w:val="18"/>
          <w:color w:val="auto"/>
        </w:rPr>
        <w:t>Depreciation expense was $9,492 and $5,602 for the nine months ended September 30, 2023 and 2022, respectively.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8—Accrued expenses and other liabilities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September 30, 2023</w:t>
            </w: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December 31, 2022</w:t>
            </w:r>
          </w:p>
        </w:tc>
      </w:tr>
      <w:tr>
        <w:trPr>
          <w:trHeight w:val="196"/>
        </w:trPr>
        <w:tc>
          <w:tcPr>
            <w:tcW w:w="6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Payroll and bonuses</w:t>
            </w: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5,566</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7,062</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Interest</w:t>
            </w:r>
          </w:p>
        </w:tc>
        <w:tc>
          <w:tcPr>
            <w:tcW w:w="44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clinical trial related costs</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Professional and legal fees</w:t>
            </w:r>
          </w:p>
        </w:tc>
        <w:tc>
          <w:tcPr>
            <w:tcW w:w="4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1,198</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1,637</w:t>
            </w: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 payable</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851</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w:t>
            </w:r>
          </w:p>
        </w:tc>
        <w:tc>
          <w:tcPr>
            <w:tcW w:w="4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2,040</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r>
      <w:tr>
        <w:trPr>
          <w:trHeight w:val="196"/>
        </w:trPr>
        <w:tc>
          <w:tcPr>
            <w:tcW w:w="6120" w:type="dxa"/>
            <w:vAlign w:val="bottom"/>
          </w:tcPr>
          <w:p>
            <w:pPr>
              <w:ind w:left="20"/>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9,932</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9,841</w:t>
            </w:r>
          </w:p>
        </w:tc>
      </w:tr>
      <w:tr>
        <w:trPr>
          <w:trHeight w:val="20"/>
        </w:trPr>
        <w:tc>
          <w:tcPr>
            <w:tcW w:w="6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9—Long-term debt</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the Company’s indebtedness:</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8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3"/>
          </w:tcPr>
          <w:p>
            <w:pPr>
              <w:ind w:left="300"/>
              <w:spacing w:after="0"/>
              <w:rPr>
                <w:sz w:val="20"/>
                <w:szCs w:val="20"/>
                <w:color w:val="auto"/>
              </w:rPr>
            </w:pPr>
            <w:r>
              <w:rPr>
                <w:rFonts w:ascii="Arial" w:cs="Arial" w:eastAsia="Arial" w:hAnsi="Arial"/>
                <w:sz w:val="14"/>
                <w:szCs w:val="14"/>
                <w:color w:val="auto"/>
              </w:rPr>
              <w:t>September 30, 2023</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December 31, 2022</w:t>
            </w: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Principal</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Plus: End of term fee</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Debt discount attributable to warrants, net of accretion</w:t>
            </w: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190"/>
        </w:trPr>
        <w:tc>
          <w:tcPr>
            <w:tcW w:w="5820" w:type="dxa"/>
            <w:vAlign w:val="bottom"/>
          </w:tcPr>
          <w:p>
            <w:pPr>
              <w:spacing w:after="0" w:line="189" w:lineRule="exact"/>
              <w:rPr>
                <w:sz w:val="20"/>
                <w:szCs w:val="20"/>
                <w:color w:val="auto"/>
              </w:rPr>
            </w:pPr>
            <w:r>
              <w:rPr>
                <w:rFonts w:ascii="Arial" w:cs="Arial" w:eastAsia="Arial" w:hAnsi="Arial"/>
                <w:sz w:val="18"/>
                <w:szCs w:val="18"/>
                <w:color w:val="auto"/>
              </w:rPr>
              <w:t>Less: Unamortized deferred financing cost and end of term fee, net of</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accretion</w:t>
            </w:r>
          </w:p>
        </w:tc>
        <w:tc>
          <w:tcPr>
            <w:tcW w:w="3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196"/>
        </w:trPr>
        <w:tc>
          <w:tcPr>
            <w:tcW w:w="5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3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10,241</w:t>
            </w:r>
          </w:p>
        </w:tc>
      </w:tr>
      <w:tr>
        <w:trPr>
          <w:trHeight w:val="20"/>
        </w:trPr>
        <w:tc>
          <w:tcPr>
            <w:tcW w:w="5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right="239"/>
        <w:spacing w:after="0" w:line="243" w:lineRule="auto"/>
        <w:rPr>
          <w:sz w:val="20"/>
          <w:szCs w:val="20"/>
          <w:color w:val="auto"/>
        </w:rPr>
      </w:pPr>
      <w:r>
        <w:rPr>
          <w:rFonts w:ascii="Arial" w:cs="Arial" w:eastAsia="Arial" w:hAnsi="Arial"/>
          <w:sz w:val="18"/>
          <w:szCs w:val="18"/>
          <w:color w:val="auto"/>
        </w:rPr>
        <w:t>On September 14, 2020, the Company entered into a $10,000 Term Loan Agreement (as amended, the “Loan Agreement”) with Hercules Capital, Inc. (“Hercules”). Pursuant to the terms of the Loan Agreement, the Company borrowed $10,000 (the “Tranche 1 Advance”) from the lenders at closing. The Company granted Hercules a lien on substantially all of the Company’s assets, excluding intellectual property.</w:t>
      </w:r>
    </w:p>
    <w:p>
      <w:pPr>
        <w:spacing w:after="0" w:line="147"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On May 1, 2023, the Company prepaid the Loan Agreement in full. The total amount paid to Hercules in connection with the prepayment was $10,617, which included all outstanding principal, accrued and unpaid interest and end of term and prepayment charges (“the Payoff Amount”). The Payoff Amount included a prepayment charge of $100 (equal to 1.0% of the outstanding principal), and an end of term fee of $395, which is being recognized as interest expense and accreted over the term of the Loan Agreement using the effective interest method. Upon receipt by Hercules of the Payoff Amount on May 1, 2023, all obligations, covenants, debts and liabilities of the Company under the Loan Agreement were satisfied and discharged in full, and the Loan Agreement was terminated.</w:t>
      </w:r>
    </w:p>
    <w:p>
      <w:pPr>
        <w:spacing w:after="0" w:line="167" w:lineRule="exact"/>
        <w:rPr>
          <w:sz w:val="20"/>
          <w:szCs w:val="20"/>
          <w:color w:val="auto"/>
        </w:rPr>
      </w:pPr>
    </w:p>
    <w:p>
      <w:pPr>
        <w:ind w:left="60" w:right="219"/>
        <w:spacing w:after="0" w:line="255" w:lineRule="auto"/>
        <w:rPr>
          <w:sz w:val="20"/>
          <w:szCs w:val="20"/>
          <w:color w:val="auto"/>
        </w:rPr>
      </w:pPr>
      <w:r>
        <w:rPr>
          <w:rFonts w:ascii="Arial" w:cs="Arial" w:eastAsia="Arial" w:hAnsi="Arial"/>
          <w:sz w:val="17"/>
          <w:szCs w:val="17"/>
          <w:color w:val="auto"/>
        </w:rPr>
        <w:t>The Loan Agreement had a four-year term and an interest-only period of up to 30 months. Amounts borrowed under the Loan Agreement accrue interest at a floating rate per annum (based on a year of 360 days) equal to</w:t>
      </w:r>
    </w:p>
    <w:p>
      <w:pPr>
        <w:spacing w:after="0" w:line="2" w:lineRule="exact"/>
        <w:rPr>
          <w:sz w:val="20"/>
          <w:szCs w:val="20"/>
          <w:color w:val="auto"/>
        </w:rPr>
      </w:pPr>
    </w:p>
    <w:p>
      <w:pPr>
        <w:jc w:val="both"/>
        <w:ind w:left="60" w:right="199" w:hanging="10"/>
        <w:spacing w:after="0"/>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sum of (a) the greater of 6.30% plus (b)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last business day of the month that immediately precedes the month in which the interest will accrue or (ii) 9.55%. The interest rate as of May 1, 2023 was 14.3%.</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incurred $410 in deferred financing costs pursuant to the Loan Agreement.</w:t>
      </w:r>
    </w:p>
    <w:p>
      <w:pPr>
        <w:spacing w:after="0" w:line="171"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attributable to the Loan Agreement is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For the Three</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For the Three</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Months Ended</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Months Ended</w:t>
            </w:r>
          </w:p>
        </w:tc>
        <w:tc>
          <w:tcPr>
            <w:tcW w:w="1960" w:type="dxa"/>
            <w:vAlign w:val="bottom"/>
            <w:gridSpan w:val="3"/>
          </w:tcPr>
          <w:p>
            <w:pPr>
              <w:ind w:left="20"/>
              <w:spacing w:after="0"/>
              <w:rPr>
                <w:sz w:val="20"/>
                <w:szCs w:val="20"/>
                <w:color w:val="auto"/>
              </w:rPr>
            </w:pPr>
            <w:r>
              <w:rPr>
                <w:rFonts w:ascii="Arial" w:cs="Arial" w:eastAsia="Arial" w:hAnsi="Arial"/>
                <w:sz w:val="14"/>
                <w:szCs w:val="14"/>
                <w:color w:val="auto"/>
              </w:rPr>
              <w:t>For the Nine Months Ended</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For the Nine Months Ended</w:t>
            </w:r>
          </w:p>
        </w:tc>
      </w:tr>
      <w:tr>
        <w:trPr>
          <w:trHeight w:val="167"/>
        </w:trPr>
        <w:tc>
          <w:tcPr>
            <w:tcW w:w="2120" w:type="dxa"/>
            <w:vAlign w:val="bottom"/>
          </w:tcPr>
          <w:p>
            <w:pPr>
              <w:spacing w:after="0"/>
              <w:rPr>
                <w:sz w:val="14"/>
                <w:szCs w:val="14"/>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4"/>
                <w:szCs w:val="14"/>
                <w:color w:val="auto"/>
              </w:rPr>
              <w:t>September 30, 2023</w:t>
            </w:r>
          </w:p>
        </w:tc>
        <w:tc>
          <w:tcPr>
            <w:tcW w:w="1560" w:type="dxa"/>
            <w:vAlign w:val="bottom"/>
            <w:gridSpan w:val="3"/>
          </w:tcPr>
          <w:p>
            <w:pPr>
              <w:jc w:val="right"/>
              <w:ind w:right="220"/>
              <w:spacing w:after="0"/>
              <w:rPr>
                <w:sz w:val="20"/>
                <w:szCs w:val="20"/>
                <w:color w:val="auto"/>
              </w:rPr>
            </w:pPr>
            <w:r>
              <w:rPr>
                <w:rFonts w:ascii="Arial" w:cs="Arial" w:eastAsia="Arial" w:hAnsi="Arial"/>
                <w:sz w:val="14"/>
                <w:szCs w:val="14"/>
                <w:color w:val="auto"/>
              </w:rPr>
              <w:t>September 30, 2022</w:t>
            </w:r>
          </w:p>
        </w:tc>
        <w:tc>
          <w:tcPr>
            <w:tcW w:w="160" w:type="dxa"/>
            <w:vAlign w:val="bottom"/>
          </w:tcPr>
          <w:p>
            <w:pPr>
              <w:spacing w:after="0"/>
              <w:rPr>
                <w:sz w:val="14"/>
                <w:szCs w:val="14"/>
                <w:color w:val="auto"/>
              </w:rPr>
            </w:pPr>
          </w:p>
        </w:tc>
        <w:tc>
          <w:tcPr>
            <w:tcW w:w="1800" w:type="dxa"/>
            <w:vAlign w:val="bottom"/>
            <w:gridSpan w:val="2"/>
          </w:tcPr>
          <w:p>
            <w:pPr>
              <w:ind w:left="80"/>
              <w:spacing w:after="0"/>
              <w:rPr>
                <w:sz w:val="20"/>
                <w:szCs w:val="20"/>
                <w:color w:val="auto"/>
              </w:rPr>
            </w:pPr>
            <w:r>
              <w:rPr>
                <w:rFonts w:ascii="Arial" w:cs="Arial" w:eastAsia="Arial" w:hAnsi="Arial"/>
                <w:sz w:val="14"/>
                <w:szCs w:val="14"/>
                <w:color w:val="auto"/>
              </w:rPr>
              <w:t>September 30, 2023</w:t>
            </w:r>
          </w:p>
        </w:tc>
        <w:tc>
          <w:tcPr>
            <w:tcW w:w="16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color w:val="auto"/>
              </w:rPr>
              <w:t>September 30, 2022</w:t>
            </w:r>
          </w:p>
        </w:tc>
      </w:tr>
      <w:tr>
        <w:trPr>
          <w:trHeight w:val="196"/>
        </w:trPr>
        <w:tc>
          <w:tcPr>
            <w:tcW w:w="2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787</w:t>
            </w:r>
          </w:p>
        </w:tc>
        <w:tc>
          <w:tcPr>
            <w:tcW w:w="20" w:type="dxa"/>
            <w:vAlign w:val="bottom"/>
            <w:tcBorders>
              <w:top w:val="single" w:sz="8" w:color="CCEEFF"/>
            </w:tcBorders>
            <w:shd w:val="clear" w:color="auto" w:fill="CCEEFF"/>
          </w:tcPr>
          <w:p>
            <w:pPr>
              <w:spacing w:after="0"/>
              <w:rPr>
                <w:sz w:val="17"/>
                <w:szCs w:val="17"/>
                <w:color w:val="auto"/>
              </w:rPr>
            </w:pPr>
          </w:p>
        </w:tc>
      </w:tr>
      <w:tr>
        <w:trPr>
          <w:trHeight w:val="190"/>
        </w:trPr>
        <w:tc>
          <w:tcPr>
            <w:tcW w:w="2120" w:type="dxa"/>
            <w:vAlign w:val="bottom"/>
          </w:tcPr>
          <w:p>
            <w:pPr>
              <w:ind w:left="20"/>
              <w:spacing w:after="0" w:line="189" w:lineRule="exact"/>
              <w:rPr>
                <w:sz w:val="20"/>
                <w:szCs w:val="20"/>
                <w:color w:val="auto"/>
              </w:rPr>
            </w:pPr>
            <w:r>
              <w:rPr>
                <w:rFonts w:ascii="Arial" w:cs="Arial" w:eastAsia="Arial" w:hAnsi="Arial"/>
                <w:sz w:val="18"/>
                <w:szCs w:val="18"/>
                <w:color w:val="auto"/>
              </w:rPr>
              <w:t>Amortization of debt</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issuance costs,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including end of term</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fee accretion</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 w:type="dxa"/>
            <w:vAlign w:val="bottom"/>
            <w:tcBorders>
              <w:bottom w:val="single" w:sz="8" w:color="CCEEFF"/>
            </w:tcBorders>
          </w:tcPr>
          <w:p>
            <w:pPr>
              <w:spacing w:after="0"/>
              <w:rPr>
                <w:sz w:val="18"/>
                <w:szCs w:val="18"/>
                <w:color w:val="auto"/>
              </w:rPr>
            </w:pPr>
          </w:p>
        </w:tc>
      </w:tr>
      <w:tr>
        <w:trPr>
          <w:trHeight w:val="216"/>
        </w:trPr>
        <w:tc>
          <w:tcPr>
            <w:tcW w:w="2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 w:right="100"/>
        <w:spacing w:after="0" w:line="260" w:lineRule="auto"/>
        <w:rPr>
          <w:sz w:val="20"/>
          <w:szCs w:val="20"/>
          <w:color w:val="auto"/>
        </w:rPr>
      </w:pPr>
      <w:r>
        <w:rPr>
          <w:rFonts w:ascii="Arial" w:cs="Arial" w:eastAsia="Arial" w:hAnsi="Arial"/>
          <w:sz w:val="18"/>
          <w:szCs w:val="18"/>
          <w:color w:val="auto"/>
        </w:rPr>
        <w:t>Included in accrued expenses in the accompanying consolidated balance sheets as of September 30, 2023 and December 31, 2022 was $0 and $117 of accrued interest, respectively.</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 – Bristol-Myers Squibb Collaboration</w:t>
      </w:r>
    </w:p>
    <w:p>
      <w:pPr>
        <w:spacing w:after="0" w:line="175" w:lineRule="exact"/>
        <w:rPr>
          <w:sz w:val="20"/>
          <w:szCs w:val="20"/>
          <w:color w:val="auto"/>
        </w:rPr>
      </w:pPr>
    </w:p>
    <w:p>
      <w:pPr>
        <w:ind w:left="60" w:right="120"/>
        <w:spacing w:after="0" w:line="238" w:lineRule="auto"/>
        <w:rPr>
          <w:sz w:val="20"/>
          <w:szCs w:val="20"/>
          <w:color w:val="auto"/>
        </w:rPr>
      </w:pPr>
      <w:r>
        <w:rPr>
          <w:rFonts w:ascii="Arial" w:cs="Arial" w:eastAsia="Arial" w:hAnsi="Arial"/>
          <w:sz w:val="18"/>
          <w:szCs w:val="18"/>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is within the scope of ASC 808, Collaborative Arrangements as both parties are active participants in the arrangement and are exposed to significant risks and rewards. While this arrangement is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153" w:lineRule="exact"/>
        <w:rPr>
          <w:sz w:val="20"/>
          <w:szCs w:val="20"/>
          <w:color w:val="auto"/>
        </w:rPr>
      </w:pPr>
    </w:p>
    <w:p>
      <w:pPr>
        <w:ind w:left="60" w:right="80"/>
        <w:spacing w:after="0" w:line="237" w:lineRule="auto"/>
        <w:rPr>
          <w:sz w:val="20"/>
          <w:szCs w:val="20"/>
          <w:color w:val="auto"/>
        </w:rPr>
      </w:pPr>
      <w:r>
        <w:rPr>
          <w:rFonts w:ascii="Arial" w:cs="Arial" w:eastAsia="Arial" w:hAnsi="Arial"/>
          <w:sz w:val="18"/>
          <w:szCs w:val="18"/>
          <w:color w:val="auto"/>
        </w:rPr>
        <w:t>Pursuant to the Collaboration Agreement, the Company and Bristol-Myers Squibb will initially collaborate on two Collaboration Programs focused on acute myeloid leukemia (“AML”) and multiple myeloma (“MM”), and Bristol-Myers Squibb has the option to add up to two additional Collaboration Programs for an additional fee. The Company is responsible for generating Development Candidates for each Collaboration Program, and Bristol-Myers Squibb has the option to elect to exclusively license the Development Candidates for pre-clinical development, clinical development and commercialization on a worldwide basis (“License Option”). Following Bristol-Myers Squibb’s exercise of the License Option, the Company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The Company has the option to co-promote Development Candidates generated from certain specified Collaboration Programs.</w:t>
      </w:r>
    </w:p>
    <w:p>
      <w:pPr>
        <w:spacing w:after="0" w:line="166" w:lineRule="exact"/>
        <w:rPr>
          <w:sz w:val="20"/>
          <w:szCs w:val="20"/>
          <w:color w:val="auto"/>
        </w:rPr>
      </w:pPr>
    </w:p>
    <w:p>
      <w:pPr>
        <w:ind w:left="60" w:right="100"/>
        <w:spacing w:after="0" w:line="236"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$100,000 and will pay an exercise fee upon the exercise of the License Option (“Licensed Program” and product candidates developed under a Licensed Program, “Licensed Products”). For each Licensed Program, Bristol-Myers Squibb will pay up to $235,000 in milestone payments upon the first achievement of certain development and regulatory milestones and will pay up to $500,000 per Licensed Product in net sales-based milestone payments. Bristol-Myers Squibb will also pay the Company tiered royalties per Licensed Product as a percentage of net sales in the high-single digits to low-teens, subject to reduction for biosimilar competition, compulsory licensing and certain third party license costs. If Century exercises its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twelve (12) year anniversary 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 royalty term for a Licensed Product in a</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8" w:right="1439"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0" w:lineRule="auto"/>
        <w:rPr>
          <w:sz w:val="20"/>
          <w:szCs w:val="20"/>
          <w:color w:val="auto"/>
        </w:rPr>
      </w:pPr>
      <w:r>
        <w:rPr>
          <w:rFonts w:ascii="Arial" w:cs="Arial" w:eastAsia="Arial" w:hAnsi="Arial"/>
          <w:sz w:val="18"/>
          <w:szCs w:val="18"/>
          <w:color w:val="auto"/>
        </w:rPr>
        <w:t>country, all licenses granted by the Company to Bristol-Myers Squibb for such Licensed Product in such country will be fully paid-up, royalty-free, perpetual and irrevocable.</w:t>
      </w:r>
    </w:p>
    <w:p>
      <w:pPr>
        <w:spacing w:after="0" w:line="146"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$23,200 in the aggregate (“Equity Premium”), and the remaining $26,800 was recorded as issuance of common stock in stockholders’ equity.</w:t>
      </w:r>
    </w:p>
    <w:p>
      <w:pPr>
        <w:spacing w:after="0" w:line="15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 distinct performance obligations for purposes of recognizing revenue and will recognize revenue as the Company fulfills each performance obligation.</w:t>
      </w:r>
    </w:p>
    <w:p>
      <w:pPr>
        <w:spacing w:after="0" w:line="15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determined that the upfront payment and Equity Premium constitute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is not within the Company’s control and is subject to certain research and development success and therefore carries significant uncertainty. The Company will reevaluate the likelihood of achieving these milestones at the end of each reporting period and adjust the transaction price in the period the risk is resolved. In addition, the Company will recognize any consideration related to sales-based milestones and royalties when the subsequent sales occur.</w:t>
      </w:r>
    </w:p>
    <w:p>
      <w:pPr>
        <w:spacing w:after="0" w:line="167"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total transaction price of $123,187 was allocated to the performance obligations based on their estimated standalone selling price on January 7, 2022.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50" w:lineRule="exact"/>
        <w:rPr>
          <w:sz w:val="20"/>
          <w:szCs w:val="20"/>
          <w:color w:val="auto"/>
        </w:rPr>
      </w:pPr>
    </w:p>
    <w:p>
      <w:pPr>
        <w:ind w:left="720" w:right="219" w:hanging="319"/>
        <w:spacing w:after="0" w:line="23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services: The Company recognizes the portion of the transaction price allocated to each of the research and development performance obligations as the research and 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50" w:lineRule="exact"/>
        <w:rPr>
          <w:rFonts w:ascii="Arial" w:cs="Arial" w:eastAsia="Arial" w:hAnsi="Arial"/>
          <w:sz w:val="18"/>
          <w:szCs w:val="18"/>
          <w:color w:val="auto"/>
        </w:rPr>
      </w:pPr>
    </w:p>
    <w:p>
      <w:pPr>
        <w:ind w:left="720" w:right="79" w:hanging="319"/>
        <w:spacing w:after="0" w:line="24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License option rights: The transaction price allocated to the license options rights, which are considered material rights to license and commercialize the underlying research and development target, are deferred until the period that Bristol-Myers Squibb elects to exercise or elects to not exercise its option or when the option to exercise expires.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The following table summarizes the allocation of the total transaction price to the identified performance obligations under the arrangement, and the amount of the transaction price unsatisfied as of September 30, 2023:</w:t>
      </w:r>
    </w:p>
    <w:p>
      <w:pPr>
        <w:sectPr>
          <w:pgSz w:w="11900" w:h="16838" w:orient="portrait"/>
          <w:cols w:equalWidth="0" w:num="1">
            <w:col w:w="9019"/>
          </w:cols>
          <w:pgMar w:left="1440" w:top="518" w:right="1440" w:bottom="1440" w:gutter="0" w:footer="0" w:header="0"/>
        </w:sect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Performance obligations: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Option rights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7"/>
          <w:szCs w:val="17"/>
          <w:color w:val="231F20"/>
        </w:rPr>
        <w:t>Research and development services</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w:t>
      </w:r>
    </w:p>
    <w:p>
      <w:pPr>
        <w:spacing w:after="0" w:line="8" w:lineRule="exact"/>
        <w:rPr>
          <w:sz w:val="20"/>
          <w:szCs w:val="20"/>
          <w:color w:val="auto"/>
        </w:rPr>
      </w:pPr>
    </w:p>
    <w:p>
      <w:pPr>
        <w:ind w:left="160" w:right="400"/>
        <w:spacing w:after="0" w:line="246" w:lineRule="auto"/>
        <w:rPr>
          <w:sz w:val="20"/>
          <w:szCs w:val="20"/>
          <w:color w:val="auto"/>
        </w:rPr>
      </w:pPr>
      <w:r>
        <w:rPr>
          <w:rFonts w:ascii="Arial" w:cs="Arial" w:eastAsia="Arial" w:hAnsi="Arial"/>
          <w:sz w:val="18"/>
          <w:szCs w:val="18"/>
          <w:color w:val="231F20"/>
        </w:rPr>
        <w:t>Less current portion of deferred revenue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 long-term deferred revenue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4"/>
                <w:szCs w:val="14"/>
                <w:color w:val="231F20"/>
              </w:rPr>
              <w:t>Cumulative collaboration</w:t>
            </w:r>
          </w:p>
        </w:tc>
        <w:tc>
          <w:tcPr>
            <w:tcW w:w="180" w:type="dxa"/>
            <w:vAlign w:val="bottom"/>
          </w:tcPr>
          <w:p>
            <w:pPr>
              <w:spacing w:after="0"/>
              <w:rPr>
                <w:sz w:val="15"/>
                <w:szCs w:val="15"/>
                <w:color w:val="auto"/>
              </w:rPr>
            </w:pPr>
          </w:p>
        </w:tc>
        <w:tc>
          <w:tcPr>
            <w:tcW w:w="1700" w:type="dxa"/>
            <w:vAlign w:val="bottom"/>
          </w:tcPr>
          <w:p>
            <w:pPr>
              <w:jc w:val="right"/>
              <w:ind w:right="575"/>
              <w:spacing w:after="0"/>
              <w:rPr>
                <w:sz w:val="20"/>
                <w:szCs w:val="20"/>
                <w:color w:val="auto"/>
              </w:rPr>
            </w:pPr>
            <w:r>
              <w:rPr>
                <w:rFonts w:ascii="Arial" w:cs="Arial" w:eastAsia="Arial" w:hAnsi="Arial"/>
                <w:sz w:val="14"/>
                <w:szCs w:val="14"/>
                <w:color w:val="231F20"/>
              </w:rPr>
              <w:t>Deferred</w:t>
            </w:r>
          </w:p>
        </w:tc>
      </w:tr>
      <w:tr>
        <w:trPr>
          <w:trHeight w:val="222"/>
        </w:trPr>
        <w:tc>
          <w:tcPr>
            <w:tcW w:w="1440" w:type="dxa"/>
            <w:vAlign w:val="bottom"/>
            <w:gridSpan w:val="3"/>
          </w:tcPr>
          <w:p>
            <w:pPr>
              <w:ind w:left="80"/>
              <w:spacing w:after="0"/>
              <w:rPr>
                <w:sz w:val="20"/>
                <w:szCs w:val="20"/>
                <w:color w:val="auto"/>
              </w:rPr>
            </w:pPr>
            <w:r>
              <w:rPr>
                <w:rFonts w:ascii="Arial" w:cs="Arial" w:eastAsia="Arial" w:hAnsi="Arial"/>
                <w:sz w:val="14"/>
                <w:szCs w:val="14"/>
                <w:color w:val="231F20"/>
              </w:rPr>
              <w:t>Transaction price</w:t>
            </w:r>
          </w:p>
        </w:tc>
        <w:tc>
          <w:tcPr>
            <w:tcW w:w="140" w:type="dxa"/>
            <w:vAlign w:val="bottom"/>
          </w:tcPr>
          <w:p>
            <w:pPr>
              <w:spacing w:after="0"/>
              <w:rPr>
                <w:sz w:val="19"/>
                <w:szCs w:val="19"/>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4"/>
                <w:szCs w:val="14"/>
                <w:color w:val="231F20"/>
              </w:rPr>
              <w:t>revenue recognized</w:t>
            </w:r>
          </w:p>
        </w:tc>
        <w:tc>
          <w:tcPr>
            <w:tcW w:w="180" w:type="dxa"/>
            <w:vAlign w:val="bottom"/>
          </w:tcPr>
          <w:p>
            <w:pPr>
              <w:spacing w:after="0"/>
              <w:rPr>
                <w:sz w:val="19"/>
                <w:szCs w:val="19"/>
                <w:color w:val="auto"/>
              </w:rPr>
            </w:pPr>
          </w:p>
        </w:tc>
        <w:tc>
          <w:tcPr>
            <w:tcW w:w="1700" w:type="dxa"/>
            <w:vAlign w:val="bottom"/>
          </w:tcPr>
          <w:p>
            <w:pPr>
              <w:jc w:val="right"/>
              <w:ind w:right="175"/>
              <w:spacing w:after="0"/>
              <w:rPr>
                <w:sz w:val="20"/>
                <w:szCs w:val="20"/>
                <w:color w:val="auto"/>
              </w:rPr>
            </w:pPr>
            <w:r>
              <w:rPr>
                <w:rFonts w:ascii="Arial" w:cs="Arial" w:eastAsia="Arial" w:hAnsi="Arial"/>
                <w:sz w:val="14"/>
                <w:szCs w:val="14"/>
                <w:color w:val="231F20"/>
              </w:rPr>
              <w:t>collaboration revenue</w:t>
            </w:r>
          </w:p>
        </w:tc>
      </w:tr>
      <w:tr>
        <w:trPr>
          <w:trHeight w:val="201"/>
        </w:trPr>
        <w:tc>
          <w:tcPr>
            <w:tcW w:w="360" w:type="dxa"/>
            <w:vAlign w:val="bottom"/>
            <w:tcBorders>
              <w:top w:val="single" w:sz="8" w:color="auto"/>
            </w:tcBorders>
          </w:tcPr>
          <w:p>
            <w:pPr>
              <w:jc w:val="right"/>
              <w:ind w:right="176"/>
              <w:spacing w:after="0" w:line="201" w:lineRule="exact"/>
              <w:rPr>
                <w:sz w:val="20"/>
                <w:szCs w:val="20"/>
                <w:color w:val="auto"/>
              </w:rPr>
            </w:pPr>
            <w:r>
              <w:rPr>
                <w:rFonts w:ascii="Arial" w:cs="Arial" w:eastAsia="Arial" w:hAnsi="Arial"/>
                <w:sz w:val="18"/>
                <w:szCs w:val="18"/>
                <w:color w:val="231F20"/>
                <w:w w:val="79"/>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109,164</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231F20"/>
                <w:w w:val="99"/>
              </w:rPr>
              <w:t>$</w:t>
            </w:r>
          </w:p>
        </w:tc>
        <w:tc>
          <w:tcPr>
            <w:tcW w:w="1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231F20"/>
                <w:w w:val="79"/>
              </w:rPr>
              <w:t>$</w:t>
            </w:r>
          </w:p>
        </w:tc>
        <w:tc>
          <w:tcPr>
            <w:tcW w:w="1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109,164</w:t>
            </w:r>
          </w:p>
        </w:tc>
      </w:tr>
      <w:tr>
        <w:trPr>
          <w:trHeight w:val="230"/>
        </w:trPr>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(7,166)</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6,857</w:t>
            </w:r>
          </w:p>
        </w:tc>
      </w:tr>
      <w:tr>
        <w:trPr>
          <w:trHeight w:val="224"/>
        </w:trPr>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123,187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(7,166)</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116,021</w:t>
            </w:r>
          </w:p>
        </w:tc>
      </w:tr>
      <w:tr>
        <w:trPr>
          <w:trHeight w:val="391"/>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w:t>
            </w:r>
          </w:p>
        </w:tc>
      </w:tr>
      <w:tr>
        <w:trPr>
          <w:trHeight w:val="210"/>
        </w:trPr>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231F20"/>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123,187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-856615</wp:posOffset>
            </wp:positionV>
            <wp:extent cx="564896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-573405</wp:posOffset>
            </wp:positionV>
            <wp:extent cx="564896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-170815</wp:posOffset>
            </wp:positionV>
            <wp:extent cx="564896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3060" w:space="400"/>
            <w:col w:w="5559"/>
          </w:cols>
          <w:pgMar w:left="1440" w:top="518" w:right="1440" w:bottom="1440" w:gutter="0" w:footer="0" w:header="0"/>
          <w:type w:val="continuous"/>
        </w:sectPr>
      </w:pPr>
    </w:p>
    <w:p>
      <w:pPr>
        <w:ind w:left="60" w:right="479"/>
        <w:spacing w:after="0" w:line="247" w:lineRule="auto"/>
        <w:rPr>
          <w:sz w:val="20"/>
          <w:szCs w:val="20"/>
          <w:color w:val="auto"/>
        </w:rPr>
      </w:pPr>
      <w:r>
        <w:rPr>
          <w:rFonts w:ascii="Arial" w:cs="Arial" w:eastAsia="Arial" w:hAnsi="Arial"/>
          <w:sz w:val="18"/>
          <w:szCs w:val="18"/>
          <w:color w:val="auto"/>
        </w:rPr>
        <w:t>The following table summarizes the allocation of the total transaction price to the identified performance obligations under the arrangement, and the amount of the transaction price unsatisfied as of December 31, 2022:</w:t>
      </w:r>
    </w:p>
    <w:p>
      <w:pPr>
        <w:sectPr>
          <w:pgSz w:w="11900" w:h="16838" w:orient="portrait"/>
          <w:cols w:equalWidth="0" w:num="1">
            <w:col w:w="9019"/>
          </w:cols>
          <w:pgMar w:left="1440" w:top="518" w:right="1440" w:bottom="1440" w:gutter="0" w:footer="0" w:header="0"/>
          <w:type w:val="continuous"/>
        </w:sect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Performance obligations: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Option rights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7"/>
          <w:szCs w:val="17"/>
          <w:color w:val="231F20"/>
        </w:rPr>
        <w:t>Research and development services</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w:t>
      </w:r>
    </w:p>
    <w:p>
      <w:pPr>
        <w:spacing w:after="0" w:line="8" w:lineRule="exact"/>
        <w:rPr>
          <w:sz w:val="20"/>
          <w:szCs w:val="20"/>
          <w:color w:val="auto"/>
        </w:rPr>
      </w:pPr>
    </w:p>
    <w:p>
      <w:pPr>
        <w:ind w:left="160" w:right="400"/>
        <w:spacing w:after="0" w:line="246" w:lineRule="auto"/>
        <w:rPr>
          <w:sz w:val="20"/>
          <w:szCs w:val="20"/>
          <w:color w:val="auto"/>
        </w:rPr>
      </w:pPr>
      <w:r>
        <w:rPr>
          <w:rFonts w:ascii="Arial" w:cs="Arial" w:eastAsia="Arial" w:hAnsi="Arial"/>
          <w:sz w:val="18"/>
          <w:szCs w:val="18"/>
          <w:color w:val="231F20"/>
        </w:rPr>
        <w:t>Less current portion of deferred revenue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 long-term deferred revenue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4"/>
                <w:szCs w:val="14"/>
                <w:color w:val="231F20"/>
              </w:rPr>
              <w:t>Cumulative collaboration</w:t>
            </w:r>
          </w:p>
        </w:tc>
        <w:tc>
          <w:tcPr>
            <w:tcW w:w="180" w:type="dxa"/>
            <w:vAlign w:val="bottom"/>
          </w:tcPr>
          <w:p>
            <w:pPr>
              <w:spacing w:after="0"/>
              <w:rPr>
                <w:sz w:val="15"/>
                <w:szCs w:val="15"/>
                <w:color w:val="auto"/>
              </w:rPr>
            </w:pPr>
          </w:p>
        </w:tc>
        <w:tc>
          <w:tcPr>
            <w:tcW w:w="1700" w:type="dxa"/>
            <w:vAlign w:val="bottom"/>
          </w:tcPr>
          <w:p>
            <w:pPr>
              <w:jc w:val="right"/>
              <w:ind w:right="575"/>
              <w:spacing w:after="0"/>
              <w:rPr>
                <w:sz w:val="20"/>
                <w:szCs w:val="20"/>
                <w:color w:val="auto"/>
              </w:rPr>
            </w:pPr>
            <w:r>
              <w:rPr>
                <w:rFonts w:ascii="Arial" w:cs="Arial" w:eastAsia="Arial" w:hAnsi="Arial"/>
                <w:sz w:val="14"/>
                <w:szCs w:val="14"/>
                <w:color w:val="231F20"/>
              </w:rPr>
              <w:t>Deferred</w:t>
            </w:r>
          </w:p>
        </w:tc>
      </w:tr>
      <w:tr>
        <w:trPr>
          <w:trHeight w:val="222"/>
        </w:trPr>
        <w:tc>
          <w:tcPr>
            <w:tcW w:w="1440" w:type="dxa"/>
            <w:vAlign w:val="bottom"/>
            <w:gridSpan w:val="3"/>
          </w:tcPr>
          <w:p>
            <w:pPr>
              <w:ind w:left="80"/>
              <w:spacing w:after="0"/>
              <w:rPr>
                <w:sz w:val="20"/>
                <w:szCs w:val="20"/>
                <w:color w:val="auto"/>
              </w:rPr>
            </w:pPr>
            <w:r>
              <w:rPr>
                <w:rFonts w:ascii="Arial" w:cs="Arial" w:eastAsia="Arial" w:hAnsi="Arial"/>
                <w:sz w:val="14"/>
                <w:szCs w:val="14"/>
                <w:color w:val="231F20"/>
              </w:rPr>
              <w:t>Transaction price</w:t>
            </w:r>
          </w:p>
        </w:tc>
        <w:tc>
          <w:tcPr>
            <w:tcW w:w="140" w:type="dxa"/>
            <w:vAlign w:val="bottom"/>
          </w:tcPr>
          <w:p>
            <w:pPr>
              <w:spacing w:after="0"/>
              <w:rPr>
                <w:sz w:val="19"/>
                <w:szCs w:val="19"/>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4"/>
                <w:szCs w:val="14"/>
                <w:color w:val="231F20"/>
              </w:rPr>
              <w:t>revenue recognized</w:t>
            </w:r>
          </w:p>
        </w:tc>
        <w:tc>
          <w:tcPr>
            <w:tcW w:w="180" w:type="dxa"/>
            <w:vAlign w:val="bottom"/>
          </w:tcPr>
          <w:p>
            <w:pPr>
              <w:spacing w:after="0"/>
              <w:rPr>
                <w:sz w:val="19"/>
                <w:szCs w:val="19"/>
                <w:color w:val="auto"/>
              </w:rPr>
            </w:pPr>
          </w:p>
        </w:tc>
        <w:tc>
          <w:tcPr>
            <w:tcW w:w="1700" w:type="dxa"/>
            <w:vAlign w:val="bottom"/>
          </w:tcPr>
          <w:p>
            <w:pPr>
              <w:jc w:val="right"/>
              <w:ind w:right="175"/>
              <w:spacing w:after="0"/>
              <w:rPr>
                <w:sz w:val="20"/>
                <w:szCs w:val="20"/>
                <w:color w:val="auto"/>
              </w:rPr>
            </w:pPr>
            <w:r>
              <w:rPr>
                <w:rFonts w:ascii="Arial" w:cs="Arial" w:eastAsia="Arial" w:hAnsi="Arial"/>
                <w:sz w:val="14"/>
                <w:szCs w:val="14"/>
                <w:color w:val="231F20"/>
              </w:rPr>
              <w:t>collaboration revenue</w:t>
            </w:r>
          </w:p>
        </w:tc>
      </w:tr>
      <w:tr>
        <w:trPr>
          <w:trHeight w:val="201"/>
        </w:trPr>
        <w:tc>
          <w:tcPr>
            <w:tcW w:w="360" w:type="dxa"/>
            <w:vAlign w:val="bottom"/>
            <w:tcBorders>
              <w:top w:val="single" w:sz="8" w:color="auto"/>
            </w:tcBorders>
          </w:tcPr>
          <w:p>
            <w:pPr>
              <w:jc w:val="right"/>
              <w:ind w:right="176"/>
              <w:spacing w:after="0" w:line="201" w:lineRule="exact"/>
              <w:rPr>
                <w:sz w:val="20"/>
                <w:szCs w:val="20"/>
                <w:color w:val="auto"/>
              </w:rPr>
            </w:pPr>
            <w:r>
              <w:rPr>
                <w:rFonts w:ascii="Arial" w:cs="Arial" w:eastAsia="Arial" w:hAnsi="Arial"/>
                <w:sz w:val="18"/>
                <w:szCs w:val="18"/>
                <w:color w:val="231F20"/>
                <w:w w:val="79"/>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109,045</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231F20"/>
                <w:w w:val="99"/>
              </w:rPr>
              <w:t>$</w:t>
            </w:r>
          </w:p>
        </w:tc>
        <w:tc>
          <w:tcPr>
            <w:tcW w:w="1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231F20"/>
                <w:w w:val="79"/>
              </w:rPr>
              <w:t>$</w:t>
            </w:r>
          </w:p>
        </w:tc>
        <w:tc>
          <w:tcPr>
            <w:tcW w:w="1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109,045</w:t>
            </w:r>
          </w:p>
        </w:tc>
      </w:tr>
      <w:tr>
        <w:trPr>
          <w:trHeight w:val="230"/>
        </w:trPr>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14,142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(5,199)</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8,943</w:t>
            </w:r>
          </w:p>
        </w:tc>
      </w:tr>
      <w:tr>
        <w:trPr>
          <w:trHeight w:val="224"/>
        </w:trPr>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123,187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117,988</w:t>
            </w:r>
          </w:p>
        </w:tc>
      </w:tr>
      <w:tr>
        <w:trPr>
          <w:trHeight w:val="391"/>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(7,154)</w:t>
            </w:r>
          </w:p>
        </w:tc>
      </w:tr>
      <w:tr>
        <w:trPr>
          <w:trHeight w:val="210"/>
        </w:trPr>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231F20"/>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123,187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110,834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-856615</wp:posOffset>
            </wp:positionV>
            <wp:extent cx="564896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-574040</wp:posOffset>
            </wp:positionV>
            <wp:extent cx="564896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-170815</wp:posOffset>
            </wp:positionV>
            <wp:extent cx="564896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3060" w:space="400"/>
            <w:col w:w="5559"/>
          </w:cols>
          <w:pgMar w:left="1440" w:top="518" w:right="1440" w:bottom="1440" w:gutter="0" w:footer="0" w:header="0"/>
          <w:type w:val="continuous"/>
        </w:sectPr>
      </w:pPr>
    </w:p>
    <w:p>
      <w:pPr>
        <w:ind w:left="60" w:right="279"/>
        <w:spacing w:after="0" w:line="243" w:lineRule="auto"/>
        <w:rPr>
          <w:sz w:val="20"/>
          <w:szCs w:val="20"/>
          <w:color w:val="auto"/>
        </w:rPr>
      </w:pPr>
      <w:r>
        <w:rPr>
          <w:rFonts w:ascii="Arial" w:cs="Arial" w:eastAsia="Arial" w:hAnsi="Arial"/>
          <w:sz w:val="18"/>
          <w:szCs w:val="18"/>
          <w:color w:val="auto"/>
        </w:rPr>
        <w:t>As a direct result of the execution of the Collaboration Agreement, the Company incurred $ 10,000 in fees to amend the FCDI agreement to gain access to the territory rights of Japan. This is recorded as in-process research and development expenses in the consolidated statement of operations and comprehensive loss for the nine months ended September 30, 2022.</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11—Commitments and contingencies</w:t>
      </w:r>
    </w:p>
    <w:p>
      <w:pPr>
        <w:spacing w:after="0" w:line="175" w:lineRule="exact"/>
        <w:rPr>
          <w:sz w:val="20"/>
          <w:szCs w:val="20"/>
          <w:color w:val="auto"/>
        </w:rPr>
      </w:pPr>
    </w:p>
    <w:p>
      <w:pPr>
        <w:jc w:val="both"/>
        <w:ind w:left="60" w:right="359"/>
        <w:spacing w:after="0" w:line="24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18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94"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The Company had $0 within accounts payable as of September 30, 2023 and $110 as of December 31, 2022, in its consolidated balance sheets related to the Master Service Agreement.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w:t>
      </w:r>
    </w:p>
    <w:p>
      <w:pPr>
        <w:sectPr>
          <w:pgSz w:w="11900" w:h="16838" w:orient="portrait"/>
          <w:cols w:equalWidth="0" w:num="1">
            <w:col w:w="9019"/>
          </w:cols>
          <w:pgMar w:left="1440" w:top="518" w:right="1440" w:bottom="1440" w:gutter="0" w:footer="0" w:header="0"/>
          <w:type w:val="continuous"/>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pay sales milestones, not to exceed $70,000, for the sales of the licensed product. iCELL is also eligible to receive payments of up to $4,250 in development and regulatory approval milestone payments. No milestones or royalties were due in 2023 or 2022.</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12—Leases</w:t>
      </w:r>
    </w:p>
    <w:p>
      <w:pPr>
        <w:spacing w:after="0" w:line="189" w:lineRule="exact"/>
        <w:rPr>
          <w:sz w:val="20"/>
          <w:szCs w:val="20"/>
          <w:color w:val="auto"/>
        </w:rPr>
      </w:pPr>
    </w:p>
    <w:p>
      <w:pPr>
        <w:ind w:left="60" w:right="259"/>
        <w:spacing w:after="0" w:line="241"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$416 and $1,260 within security deposits in its consolidated balance sheets at September 30, 2023 and December 31, 2022, respectively. The Company’s leases have initial lease terms ranging from 5 to 16 years. Certain lease agreements contain provisions for future rent increases.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25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2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r>
      <w:tr>
        <w:trPr>
          <w:trHeight w:val="167"/>
        </w:trPr>
        <w:tc>
          <w:tcPr>
            <w:tcW w:w="25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2023</w:t>
            </w:r>
          </w:p>
        </w:tc>
        <w:tc>
          <w:tcPr>
            <w:tcW w:w="2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2022</w:t>
            </w:r>
          </w:p>
        </w:tc>
        <w:tc>
          <w:tcPr>
            <w:tcW w:w="2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2023</w:t>
            </w:r>
          </w:p>
        </w:tc>
        <w:tc>
          <w:tcPr>
            <w:tcW w:w="2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2022</w:t>
            </w:r>
          </w:p>
        </w:tc>
      </w:tr>
      <w:tr>
        <w:trPr>
          <w:trHeight w:val="196"/>
        </w:trPr>
        <w:tc>
          <w:tcPr>
            <w:tcW w:w="2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expense:</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2540" w:type="dxa"/>
            <w:vAlign w:val="bottom"/>
          </w:tcPr>
          <w:p>
            <w:pPr>
              <w:ind w:left="100"/>
              <w:spacing w:after="0" w:line="202" w:lineRule="exact"/>
              <w:rPr>
                <w:sz w:val="20"/>
                <w:szCs w:val="20"/>
                <w:color w:val="auto"/>
              </w:rPr>
            </w:pPr>
            <w:r>
              <w:rPr>
                <w:rFonts w:ascii="Arial" w:cs="Arial" w:eastAsia="Arial" w:hAnsi="Arial"/>
                <w:sz w:val="18"/>
                <w:szCs w:val="18"/>
                <w:color w:val="auto"/>
              </w:rPr>
              <w:t>Fixed lease cost</w:t>
            </w:r>
          </w:p>
        </w:tc>
        <w:tc>
          <w:tcPr>
            <w:tcW w:w="640" w:type="dxa"/>
            <w:vAlign w:val="bottom"/>
            <w:gridSpan w:val="2"/>
          </w:tcPr>
          <w:p>
            <w:pPr>
              <w:jc w:val="right"/>
              <w:ind w:right="32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1,443</w:t>
            </w:r>
          </w:p>
        </w:tc>
        <w:tc>
          <w:tcPr>
            <w:tcW w:w="700" w:type="dxa"/>
            <w:vAlign w:val="bottom"/>
            <w:gridSpan w:val="2"/>
          </w:tcPr>
          <w:p>
            <w:pPr>
              <w:jc w:val="right"/>
              <w:ind w:right="32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1,795</w:t>
            </w:r>
          </w:p>
        </w:tc>
        <w:tc>
          <w:tcPr>
            <w:tcW w:w="680" w:type="dxa"/>
            <w:vAlign w:val="bottom"/>
            <w:gridSpan w:val="2"/>
          </w:tcPr>
          <w:p>
            <w:pPr>
              <w:jc w:val="right"/>
              <w:ind w:right="30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4,458</w:t>
            </w:r>
          </w:p>
        </w:tc>
        <w:tc>
          <w:tcPr>
            <w:tcW w:w="700" w:type="dxa"/>
            <w:vAlign w:val="bottom"/>
            <w:gridSpan w:val="2"/>
          </w:tcPr>
          <w:p>
            <w:pPr>
              <w:jc w:val="right"/>
              <w:ind w:right="32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3,298</w:t>
            </w:r>
          </w:p>
        </w:tc>
      </w:tr>
      <w:tr>
        <w:trPr>
          <w:trHeight w:val="203"/>
        </w:trPr>
        <w:tc>
          <w:tcPr>
            <w:tcW w:w="2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995</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840</w:t>
            </w:r>
          </w:p>
        </w:tc>
      </w:tr>
      <w:tr>
        <w:trPr>
          <w:trHeight w:val="203"/>
        </w:trPr>
        <w:tc>
          <w:tcPr>
            <w:tcW w:w="25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Short term lease expense</w:t>
            </w: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w:t>
            </w: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901</w:t>
            </w:r>
          </w:p>
        </w:tc>
        <w:tc>
          <w:tcPr>
            <w:tcW w:w="2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1,971</w:t>
            </w:r>
          </w:p>
        </w:tc>
      </w:tr>
      <w:tr>
        <w:trPr>
          <w:trHeight w:val="196"/>
        </w:trPr>
        <w:tc>
          <w:tcPr>
            <w:tcW w:w="25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2"/>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1,922</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2"/>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2,700</w:t>
            </w: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2"/>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6,354</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2"/>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6,109</w:t>
            </w:r>
          </w:p>
        </w:tc>
      </w:tr>
      <w:tr>
        <w:trPr>
          <w:trHeight w:val="20"/>
        </w:trPr>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142240</wp:posOffset>
            </wp:positionV>
            <wp:extent cx="56832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240" w:lineRule="exact"/>
        <w:rPr>
          <w:sz w:val="20"/>
          <w:szCs w:val="20"/>
          <w:color w:val="auto"/>
        </w:rPr>
      </w:pPr>
    </w:p>
    <w:tbl>
      <w:tblPr>
        <w:tblLayout w:type="fixed"/>
        <w:tblInd w:w="4680" w:type="dxa"/>
        <w:tblCellMar>
          <w:top w:w="0" w:type="dxa"/>
          <w:left w:w="0" w:type="dxa"/>
          <w:bottom w:w="0" w:type="dxa"/>
          <w:right w:w="0" w:type="dxa"/>
        </w:tblCellMar>
      </w:tblPr>
      <w:tr>
        <w:trPr>
          <w:trHeight w:val="182"/>
        </w:trPr>
        <w:tc>
          <w:tcPr>
            <w:tcW w:w="188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color w:val="auto"/>
              </w:rPr>
              <w:t>As of</w:t>
            </w:r>
          </w:p>
        </w:tc>
        <w:tc>
          <w:tcPr>
            <w:tcW w:w="1160" w:type="dxa"/>
            <w:vAlign w:val="bottom"/>
          </w:tcPr>
          <w:p>
            <w:pPr>
              <w:jc w:val="center"/>
              <w:spacing w:after="0"/>
              <w:rPr>
                <w:sz w:val="20"/>
                <w:szCs w:val="20"/>
                <w:color w:val="auto"/>
              </w:rPr>
            </w:pPr>
            <w:r>
              <w:rPr>
                <w:rFonts w:ascii="Arial" w:cs="Arial" w:eastAsia="Arial" w:hAnsi="Arial"/>
                <w:sz w:val="14"/>
                <w:szCs w:val="14"/>
                <w:color w:val="auto"/>
              </w:rPr>
              <w:t>As of</w:t>
            </w:r>
          </w:p>
        </w:tc>
      </w:tr>
      <w:tr>
        <w:trPr>
          <w:trHeight w:val="169"/>
        </w:trPr>
        <w:tc>
          <w:tcPr>
            <w:tcW w:w="188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color w:val="auto"/>
              </w:rPr>
              <w:t>September 30,</w:t>
            </w:r>
          </w:p>
        </w:tc>
        <w:tc>
          <w:tcPr>
            <w:tcW w:w="1160" w:type="dxa"/>
            <w:vAlign w:val="bottom"/>
          </w:tcPr>
          <w:p>
            <w:pPr>
              <w:jc w:val="center"/>
              <w:spacing w:after="0"/>
              <w:rPr>
                <w:sz w:val="20"/>
                <w:szCs w:val="20"/>
                <w:color w:val="auto"/>
              </w:rPr>
            </w:pPr>
            <w:r>
              <w:rPr>
                <w:rFonts w:ascii="Arial" w:cs="Arial" w:eastAsia="Arial" w:hAnsi="Arial"/>
                <w:sz w:val="14"/>
                <w:szCs w:val="14"/>
                <w:color w:val="auto"/>
              </w:rPr>
              <w:t>December 31,</w:t>
            </w:r>
          </w:p>
        </w:tc>
      </w:tr>
      <w:tr>
        <w:trPr>
          <w:trHeight w:val="167"/>
        </w:trPr>
        <w:tc>
          <w:tcPr>
            <w:tcW w:w="1880" w:type="dxa"/>
            <w:vAlign w:val="bottom"/>
          </w:tcPr>
          <w:p>
            <w:pPr>
              <w:spacing w:after="0"/>
              <w:rPr>
                <w:sz w:val="20"/>
                <w:szCs w:val="20"/>
                <w:color w:val="auto"/>
              </w:rPr>
            </w:pPr>
            <w:r>
              <w:rPr>
                <w:rFonts w:ascii="Arial" w:cs="Arial" w:eastAsia="Arial" w:hAnsi="Arial"/>
                <w:sz w:val="14"/>
                <w:szCs w:val="14"/>
                <w:color w:val="auto"/>
              </w:rPr>
              <w:t>Location in Balance Sheet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r>
    </w:tbl>
    <w:p>
      <w:pPr>
        <w:spacing w:after="0" w:line="145" w:lineRule="exact"/>
        <w:rPr>
          <w:sz w:val="20"/>
          <w:szCs w:val="20"/>
          <w:color w:val="auto"/>
        </w:rPr>
      </w:pPr>
    </w:p>
    <w:p>
      <w:pPr>
        <w:sectPr>
          <w:pgSz w:w="11900" w:h="16838" w:orient="portrait"/>
          <w:cols w:equalWidth="0" w:num="1">
            <w:col w:w="9019"/>
          </w:cols>
          <w:pgMar w:left="1440" w:top="518" w:right="1440" w:bottom="1440" w:gutter="0" w:footer="0" w:header="0"/>
        </w:sectPr>
      </w:pP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24,551</w:t>
            </w:r>
          </w:p>
        </w:tc>
        <w:tc>
          <w:tcPr>
            <w:tcW w:w="1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28,945</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2,040</w:t>
            </w:r>
          </w:p>
        </w:tc>
        <w:tc>
          <w:tcPr>
            <w:tcW w:w="1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r>
      <w:tr>
        <w:trPr>
          <w:trHeight w:val="215"/>
        </w:trPr>
        <w:tc>
          <w:tcPr>
            <w:tcW w:w="322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45,535</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38,698</w:t>
            </w:r>
          </w:p>
        </w:tc>
      </w:tr>
      <w:tr>
        <w:trPr>
          <w:trHeight w:val="196"/>
        </w:trPr>
        <w:tc>
          <w:tcPr>
            <w:tcW w:w="322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47,575</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39,173</w:t>
            </w:r>
          </w:p>
        </w:tc>
      </w:tr>
      <w:tr>
        <w:trPr>
          <w:trHeight w:val="20"/>
        </w:trPr>
        <w:tc>
          <w:tcPr>
            <w:tcW w:w="3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-548005</wp:posOffset>
            </wp:positionV>
            <wp:extent cx="568325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3250" cy="12890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-290830</wp:posOffset>
            </wp:positionV>
            <wp:extent cx="568325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83250" cy="12890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3120" w:space="220"/>
            <w:col w:w="5679"/>
          </w:cols>
          <w:pgMar w:left="1440" w:top="518"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1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As of September 30, 2023</w:t>
            </w:r>
          </w:p>
        </w:tc>
        <w:tc>
          <w:tcPr>
            <w:tcW w:w="1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As of December 31, 2022</w:t>
            </w:r>
          </w:p>
        </w:tc>
        <w:tc>
          <w:tcPr>
            <w:tcW w:w="160" w:type="dxa"/>
            <w:vAlign w:val="bottom"/>
          </w:tcPr>
          <w:p>
            <w:pPr>
              <w:spacing w:after="0"/>
              <w:rPr>
                <w:sz w:val="15"/>
                <w:szCs w:val="15"/>
                <w:color w:val="auto"/>
              </w:rPr>
            </w:pPr>
          </w:p>
        </w:tc>
      </w:tr>
      <w:tr>
        <w:trPr>
          <w:trHeight w:val="196"/>
        </w:trPr>
        <w:tc>
          <w:tcPr>
            <w:tcW w:w="5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 years</w:t>
            </w:r>
          </w:p>
        </w:tc>
        <w:tc>
          <w:tcPr>
            <w:tcW w:w="2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9.4 years</w:t>
            </w:r>
          </w:p>
        </w:tc>
        <w:tc>
          <w:tcPr>
            <w:tcW w:w="160" w:type="dxa"/>
            <w:vAlign w:val="bottom"/>
            <w:tcBorders>
              <w:top w:val="single" w:sz="8" w:color="CCEEFF"/>
            </w:tcBorders>
            <w:shd w:val="clear" w:color="auto" w:fill="CCEEFF"/>
          </w:tcPr>
          <w:p>
            <w:pPr>
              <w:spacing w:after="0"/>
              <w:rPr>
                <w:sz w:val="17"/>
                <w:szCs w:val="17"/>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9.8 %</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9.0 %</w:t>
            </w:r>
          </w:p>
        </w:tc>
      </w:tr>
    </w:tbl>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0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For the Nine Months</w:t>
            </w:r>
          </w:p>
        </w:tc>
        <w:tc>
          <w:tcPr>
            <w:tcW w:w="13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For the Nine Months</w:t>
            </w:r>
          </w:p>
        </w:tc>
        <w:tc>
          <w:tcPr>
            <w:tcW w:w="20" w:type="dxa"/>
            <w:vAlign w:val="bottom"/>
          </w:tcPr>
          <w:p>
            <w:pPr>
              <w:spacing w:after="0"/>
              <w:rPr>
                <w:sz w:val="14"/>
                <w:szCs w:val="14"/>
                <w:color w:val="auto"/>
              </w:rPr>
            </w:pPr>
          </w:p>
        </w:tc>
      </w:tr>
      <w:tr>
        <w:trPr>
          <w:trHeight w:val="162"/>
        </w:trPr>
        <w:tc>
          <w:tcPr>
            <w:tcW w:w="6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color w:val="auto"/>
              </w:rPr>
              <w:t>Ended</w:t>
            </w:r>
          </w:p>
        </w:tc>
        <w:tc>
          <w:tcPr>
            <w:tcW w:w="28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Ended</w:t>
            </w:r>
          </w:p>
        </w:tc>
      </w:tr>
      <w:tr>
        <w:trPr>
          <w:trHeight w:val="167"/>
        </w:trPr>
        <w:tc>
          <w:tcPr>
            <w:tcW w:w="604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color w:val="auto"/>
              </w:rPr>
              <w:t>September 30, 2023</w:t>
            </w:r>
          </w:p>
        </w:tc>
        <w:tc>
          <w:tcPr>
            <w:tcW w:w="1360" w:type="dxa"/>
            <w:vAlign w:val="bottom"/>
            <w:gridSpan w:val="3"/>
          </w:tcPr>
          <w:p>
            <w:pPr>
              <w:ind w:left="20"/>
              <w:spacing w:after="0"/>
              <w:rPr>
                <w:sz w:val="20"/>
                <w:szCs w:val="20"/>
                <w:color w:val="auto"/>
              </w:rPr>
            </w:pPr>
            <w:r>
              <w:rPr>
                <w:rFonts w:ascii="Arial" w:cs="Arial" w:eastAsia="Arial" w:hAnsi="Arial"/>
                <w:sz w:val="14"/>
                <w:szCs w:val="14"/>
                <w:color w:val="auto"/>
              </w:rPr>
              <w:t>September 30, 2022</w:t>
            </w:r>
          </w:p>
        </w:tc>
      </w:tr>
      <w:tr>
        <w:trPr>
          <w:trHeight w:val="196"/>
        </w:trPr>
        <w:tc>
          <w:tcPr>
            <w:tcW w:w="6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11,447</w:t>
            </w:r>
          </w:p>
        </w:tc>
        <w:tc>
          <w:tcPr>
            <w:tcW w:w="200" w:type="dxa"/>
            <w:vAlign w:val="bottom"/>
          </w:tcPr>
          <w:p>
            <w:pPr>
              <w:spacing w:after="0"/>
              <w:rPr>
                <w:sz w:val="17"/>
                <w:szCs w:val="17"/>
                <w:color w:val="auto"/>
              </w:rPr>
            </w:pPr>
          </w:p>
        </w:tc>
        <w:tc>
          <w:tcPr>
            <w:tcW w:w="2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3,560</w:t>
            </w:r>
          </w:p>
        </w:tc>
        <w:tc>
          <w:tcPr>
            <w:tcW w:w="20" w:type="dxa"/>
            <w:vAlign w:val="bottom"/>
          </w:tcPr>
          <w:p>
            <w:pPr>
              <w:spacing w:after="0"/>
              <w:rPr>
                <w:sz w:val="17"/>
                <w:szCs w:val="17"/>
                <w:color w:val="auto"/>
              </w:rPr>
            </w:pPr>
          </w:p>
        </w:tc>
      </w:tr>
      <w:tr>
        <w:trPr>
          <w:trHeight w:val="203"/>
        </w:trPr>
        <w:tc>
          <w:tcPr>
            <w:tcW w:w="6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18,740</w:t>
            </w:r>
          </w:p>
        </w:tc>
        <w:tc>
          <w:tcPr>
            <w:tcW w:w="20" w:type="dxa"/>
            <w:vAlign w:val="bottom"/>
          </w:tcPr>
          <w:p>
            <w:pPr>
              <w:spacing w:after="0"/>
              <w:rPr>
                <w:sz w:val="17"/>
                <w:szCs w:val="17"/>
                <w:color w:val="auto"/>
              </w:rPr>
            </w:pPr>
          </w:p>
        </w:tc>
      </w:tr>
      <w:tr>
        <w:trPr>
          <w:trHeight w:val="850"/>
        </w:trPr>
        <w:tc>
          <w:tcPr>
            <w:tcW w:w="6040" w:type="dxa"/>
            <w:vAlign w:val="bottom"/>
          </w:tcPr>
          <w:p>
            <w:pPr>
              <w:jc w:val="right"/>
              <w:ind w:right="139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8"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0" w:lineRule="auto"/>
        <w:rPr>
          <w:sz w:val="20"/>
          <w:szCs w:val="20"/>
          <w:color w:val="auto"/>
        </w:rPr>
      </w:pPr>
      <w:r>
        <w:rPr>
          <w:rFonts w:ascii="Arial" w:cs="Arial" w:eastAsia="Arial" w:hAnsi="Arial"/>
          <w:sz w:val="18"/>
          <w:szCs w:val="18"/>
          <w:color w:val="auto"/>
        </w:rPr>
        <w:t>The following table reflects future minimum lease payments under noncancelable leases as of September 30, 2023:</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68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1,594</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8,044</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8,553</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8,047</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8,225</w:t>
            </w:r>
          </w:p>
        </w:tc>
      </w:tr>
      <w:tr>
        <w:trPr>
          <w:trHeight w:val="203"/>
        </w:trPr>
        <w:tc>
          <w:tcPr>
            <w:tcW w:w="76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51,043</w:t>
            </w: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85,506</w:t>
            </w:r>
          </w:p>
        </w:tc>
      </w:tr>
      <w:tr>
        <w:trPr>
          <w:trHeight w:val="202"/>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(29,324)</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Tenant incentive receivable</w:t>
            </w: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(8,607)</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47,575</w:t>
            </w: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60" w:right="779"/>
        <w:spacing w:after="0" w:line="260" w:lineRule="auto"/>
        <w:rPr>
          <w:sz w:val="20"/>
          <w:szCs w:val="20"/>
          <w:color w:val="auto"/>
        </w:rPr>
      </w:pPr>
      <w:r>
        <w:rPr>
          <w:rFonts w:ascii="Arial" w:cs="Arial" w:eastAsia="Arial" w:hAnsi="Arial"/>
          <w:sz w:val="18"/>
          <w:szCs w:val="18"/>
          <w:color w:val="auto"/>
        </w:rPr>
        <w:t>During the three and nine months ended September 30, 2023, the Company recognized $0 and $218, respectively in impairment on right-of-use assets. See footnote 18, “Impairment of Long-Lived Assets”.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13—Income taxes</w:t>
      </w:r>
    </w:p>
    <w:p>
      <w:pPr>
        <w:spacing w:after="0" w:line="216"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During the nine months ended September 30, 2023, the Company recorded income tax expense of $2,750, which includes a tax provision of $106 related to its income tax obligations of its operating company in Canada. The Company is projecting taxable income for tax year 2023, due primarily to revenue recognition for tax purposes from the Company's Research Collaboration and Collaboration Agreement entered into with Bristol-Myers Squibb Company in 2022.</w:t>
      </w:r>
    </w:p>
    <w:p>
      <w:pPr>
        <w:spacing w:after="0" w:line="18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Company’s tax provision and the resulting effective tax rate for interim periods is determined based upon its estimated annual effective tax rate (“AETR”), adjusted for the effect of discrete items arising in that quarter. The impact of such inclusions could result in 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w:t>
      </w:r>
    </w:p>
    <w:p>
      <w:pPr>
        <w:spacing w:after="0" w:line="194"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Company has evaluated the positive and negative evidence bearing upon its ability to realize its deferred tax assets, which primarily consist of net operating loss carryforwards. While the Company anticipates utilizing a portion of its existing net operating loss carryforwards during tax year 2023, the Company has considered its history of cumulative net losses in the U.S., estimated future taxable income and prudent and feasible tax planning strategies and has concluded that it is more likely than not that the Company will not realize the benefits of its U.S. deferred tax assets. As a result, as of September 30, 2023, the Company has recorded a full valuation allowance against its net deferred tax assets in the U.S.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14—Basic and diluted net loss per common share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Basic and diluted net loss per common share is calculated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Three Months Ended</w:t>
            </w:r>
          </w:p>
        </w:tc>
        <w:tc>
          <w:tcPr>
            <w:tcW w:w="3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Nine Months Ended</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17"/>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117"/>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2022</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ind w:left="8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(32,720)</w:t>
            </w:r>
          </w:p>
        </w:tc>
        <w:tc>
          <w:tcPr>
            <w:tcW w:w="56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(30,749)</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(97,275)</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(99,250)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tcPr>
          <w:p>
            <w:pPr>
              <w:spacing w:after="0" w:line="202" w:lineRule="exact"/>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Weighted-average common</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shares for basic and diluted net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59,448,229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57,973,541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59,087,374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57,573,406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Basic and diluted net loss per</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common share</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Company’s potentially dilutive securities, which include restricted stock, warrants, early exercised stock options and stock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nine months ended September 30, 2023 and 2022 because including them would have had an anti-dilutive effect.</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color w:val="auto"/>
              </w:rPr>
              <w:t>Nine Months Ended</w:t>
            </w: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Nine Months Ended</w:t>
            </w:r>
          </w:p>
        </w:tc>
      </w:tr>
      <w:tr>
        <w:trPr>
          <w:trHeight w:val="162"/>
        </w:trPr>
        <w:tc>
          <w:tcPr>
            <w:tcW w:w="616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color w:val="auto"/>
              </w:rPr>
              <w:t>September 30,</w:t>
            </w:r>
          </w:p>
        </w:tc>
        <w:tc>
          <w:tcPr>
            <w:tcW w:w="1300" w:type="dxa"/>
            <w:vAlign w:val="bottom"/>
          </w:tcPr>
          <w:p>
            <w:pPr>
              <w:jc w:val="center"/>
              <w:spacing w:after="0"/>
              <w:rPr>
                <w:sz w:val="20"/>
                <w:szCs w:val="20"/>
                <w:color w:val="auto"/>
              </w:rPr>
            </w:pPr>
            <w:r>
              <w:rPr>
                <w:rFonts w:ascii="Arial" w:cs="Arial" w:eastAsia="Arial" w:hAnsi="Arial"/>
                <w:sz w:val="14"/>
                <w:szCs w:val="14"/>
                <w:color w:val="auto"/>
              </w:rPr>
              <w:t>September 30,</w:t>
            </w:r>
          </w:p>
        </w:tc>
      </w:tr>
      <w:tr>
        <w:trPr>
          <w:trHeight w:val="167"/>
        </w:trPr>
        <w:tc>
          <w:tcPr>
            <w:tcW w:w="61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8,290,588</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7,724,059</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227,499</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565,224</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 subject to future vesting</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49,465</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247,780</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2,263,195</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16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r>
      <w:tr>
        <w:trPr>
          <w:trHeight w:val="196"/>
        </w:trPr>
        <w:tc>
          <w:tcPr>
            <w:tcW w:w="61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10,862,756</w:t>
            </w:r>
          </w:p>
        </w:tc>
        <w:tc>
          <w:tcPr>
            <w:tcW w:w="16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8,569,072</w:t>
            </w: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15—Defined contribution plan</w:t>
      </w:r>
    </w:p>
    <w:p>
      <w:pPr>
        <w:spacing w:after="0" w:line="17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Company has a 401(k) Employee Savings Plan (“401(k) Plan”) that is available to all employees of the Company. The Company has elected a Safe-Harbor provision for the 401(k) Plan in which participants are always fully vested in their employer contributions. The Company matches 100% of the first 3% of participating employee contributions and 50% of the next 2% of participating employee contributions. Contributions are made in cash. Contributions were approximately $514 and $249 for the three months ended September 30, 2023 and 2022, respectively, and $1,127 and $644 for the nine months ended September 30, 2023 and 2022, respectively. Such contribution expense has been recognized in the consolidated statement of operations for each period.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16—Stock-based compensation</w:t>
      </w:r>
    </w:p>
    <w:p>
      <w:pPr>
        <w:spacing w:after="0" w:line="175"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The 2021 Incentive Plan provides for the Company to sell or issue common stock or restricted common stock, restricted stock units (“RSUs”),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w:t>
      </w:r>
    </w:p>
    <w:p>
      <w:pPr>
        <w:spacing w:after="0" w:line="16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2022, the 2021 Incentive Plan reserved shares were increased under clause (i) by 2,750,276 shares, effective as of January 1, 2022. For 2023, the 2021 Incentive Plan reserved shares were increased under clause (i) by 2,954,788 shares, effective as of January 1, 2023. As of September 30, 2023, there were 4,965,447 shares available for issuance under the 2021 Incentive Plan.</w:t>
      </w:r>
    </w:p>
    <w:p>
      <w:pPr>
        <w:spacing w:after="0" w:line="15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 During the quarter ended June 30, 2023, the Company issued performance based RSUs that represent a contingent right to receive one share of the Company’s common stock. The RSUs shall vest 50% on November 1, 2023, with the remaining 50% vesting upon the earlier of: (i) November 1, 2024; and (ii) satisfaction of certain performance criteria. The Company is currently recording expense for these RSUs on the straight-line basis.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recognizes the costs of the stock-based payments as the employees vest in the awards.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2023, the Company had reserved shares of common stock for issuance as follows: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240" w:type="dxa"/>
            <w:vAlign w:val="bottom"/>
          </w:tcPr>
          <w:p>
            <w:pPr>
              <w:spacing w:after="0"/>
              <w:rPr>
                <w:sz w:val="15"/>
                <w:szCs w:val="15"/>
                <w:color w:val="auto"/>
              </w:rPr>
            </w:pPr>
          </w:p>
        </w:tc>
        <w:tc>
          <w:tcPr>
            <w:tcW w:w="1660" w:type="dxa"/>
            <w:vAlign w:val="bottom"/>
          </w:tcPr>
          <w:p>
            <w:pPr>
              <w:jc w:val="right"/>
              <w:ind w:right="514"/>
              <w:spacing w:after="0"/>
              <w:rPr>
                <w:sz w:val="20"/>
                <w:szCs w:val="20"/>
                <w:color w:val="auto"/>
              </w:rPr>
            </w:pPr>
            <w:r>
              <w:rPr>
                <w:rFonts w:ascii="Arial" w:cs="Arial" w:eastAsia="Arial" w:hAnsi="Arial"/>
                <w:sz w:val="14"/>
                <w:szCs w:val="14"/>
                <w:color w:val="auto"/>
              </w:rPr>
              <w:t>Shares</w:t>
            </w:r>
          </w:p>
        </w:tc>
      </w:tr>
      <w:tr>
        <w:trPr>
          <w:trHeight w:val="25"/>
        </w:trPr>
        <w:tc>
          <w:tcPr>
            <w:tcW w:w="72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and RSUs issued and outstanding</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10,553,783</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Shares available for future stock option and RSU grants</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4,965,447</w:t>
            </w:r>
          </w:p>
        </w:tc>
      </w:tr>
      <w:tr>
        <w:trPr>
          <w:trHeight w:val="202"/>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available for employee stock purchase plan</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1,014,018</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16,533,248</w:t>
            </w:r>
          </w:p>
        </w:tc>
      </w:tr>
      <w:tr>
        <w:trPr>
          <w:trHeight w:val="20"/>
        </w:trPr>
        <w:tc>
          <w:tcPr>
            <w:tcW w:w="7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shares of Common Stock available under the 2021 Incentive Plan as of September 30, 2023 are as follows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80" w:type="dxa"/>
            <w:vAlign w:val="bottom"/>
            <w:gridSpan w:val="2"/>
          </w:tcPr>
          <w:p>
            <w:pPr>
              <w:ind w:left="60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02"/>
        </w:trPr>
        <w:tc>
          <w:tcPr>
            <w:tcW w:w="374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Balance, December 31, 2022</w:t>
            </w:r>
          </w:p>
        </w:tc>
        <w:tc>
          <w:tcPr>
            <w:tcW w:w="35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5,786,358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Shares reserved for issuance</w:t>
            </w:r>
          </w:p>
        </w:tc>
        <w:tc>
          <w:tcPr>
            <w:tcW w:w="5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2,954,788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granted</w:t>
            </w:r>
          </w:p>
        </w:tc>
        <w:tc>
          <w:tcPr>
            <w:tcW w:w="5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(4,610,961)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RSU’s granted</w:t>
            </w:r>
          </w:p>
        </w:tc>
        <w:tc>
          <w:tcPr>
            <w:tcW w:w="5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(2,438,500)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and RSUs forfeited / cancelled</w:t>
            </w:r>
          </w:p>
        </w:tc>
        <w:tc>
          <w:tcPr>
            <w:tcW w:w="5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3,273,762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September 30, 2023</w:t>
            </w:r>
          </w:p>
        </w:tc>
        <w:tc>
          <w:tcPr>
            <w:tcW w:w="350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4,965,447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500" w:type="dxa"/>
            <w:vAlign w:val="bottom"/>
            <w:vMerge w:val="restart"/>
          </w:tcPr>
          <w:p>
            <w:pPr>
              <w:jc w:val="right"/>
              <w:ind w:right="2590"/>
              <w:spacing w:after="0"/>
              <w:rPr>
                <w:sz w:val="20"/>
                <w:szCs w:val="20"/>
                <w:color w:val="auto"/>
              </w:rPr>
            </w:pPr>
            <w:r>
              <w:rPr>
                <w:rFonts w:ascii="Arial" w:cs="Arial" w:eastAsia="Arial" w:hAnsi="Arial"/>
                <w:sz w:val="18"/>
                <w:szCs w:val="18"/>
                <w:color w:val="auto"/>
              </w:rPr>
              <w:t>28</w:t>
            </w: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7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8"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nine month period ended September 30, 2023:</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8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3"/>
          </w:tcPr>
          <w:p>
            <w:pPr>
              <w:jc w:val="right"/>
              <w:ind w:right="257"/>
              <w:spacing w:after="0"/>
              <w:rPr>
                <w:sz w:val="20"/>
                <w:szCs w:val="20"/>
                <w:color w:val="auto"/>
              </w:rPr>
            </w:pPr>
            <w:r>
              <w:rPr>
                <w:rFonts w:ascii="Arial" w:cs="Arial" w:eastAsia="Arial" w:hAnsi="Arial"/>
                <w:sz w:val="14"/>
                <w:szCs w:val="14"/>
                <w:color w:val="auto"/>
              </w:rPr>
              <w:t>Weighted Average</w:t>
            </w:r>
          </w:p>
        </w:tc>
        <w:tc>
          <w:tcPr>
            <w:tcW w:w="1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50"/>
        </w:trPr>
        <w:tc>
          <w:tcPr>
            <w:tcW w:w="4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line="151" w:lineRule="exact"/>
              <w:rPr>
                <w:sz w:val="20"/>
                <w:szCs w:val="20"/>
                <w:color w:val="auto"/>
              </w:rPr>
            </w:pPr>
            <w:r>
              <w:rPr>
                <w:rFonts w:ascii="Arial" w:cs="Arial" w:eastAsia="Arial" w:hAnsi="Arial"/>
                <w:sz w:val="14"/>
                <w:szCs w:val="14"/>
                <w:color w:val="auto"/>
              </w:rPr>
              <w:t>Remaining</w:t>
            </w: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Contractual</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7"/>
              </w:rPr>
              <w:t>Term</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67"/>
        </w:trPr>
        <w:tc>
          <w:tcPr>
            <w:tcW w:w="488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Exercise Price</w:t>
            </w:r>
          </w:p>
        </w:tc>
        <w:tc>
          <w:tcPr>
            <w:tcW w:w="740" w:type="dxa"/>
            <w:vAlign w:val="bottom"/>
          </w:tcPr>
          <w:p>
            <w:pPr>
              <w:jc w:val="center"/>
              <w:spacing w:after="0"/>
              <w:rPr>
                <w:sz w:val="20"/>
                <w:szCs w:val="20"/>
                <w:color w:val="auto"/>
              </w:rPr>
            </w:pPr>
            <w:r>
              <w:rPr>
                <w:rFonts w:ascii="Arial" w:cs="Arial" w:eastAsia="Arial" w:hAnsi="Arial"/>
                <w:sz w:val="14"/>
                <w:szCs w:val="14"/>
                <w:color w:val="auto"/>
              </w:rPr>
              <w:t>(years)</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January 1, 2023</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7,489,678</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7.77</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w:t>
            </w: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4,603,561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4.35</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(601,588)</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(3,098,457)</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7.01</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Cancelled</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(102,606)</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12.94</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Outstanding, September 30, 2023</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8,290,588</w:t>
            </w:r>
          </w:p>
        </w:tc>
        <w:tc>
          <w:tcPr>
            <w:tcW w:w="1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6.57</w:t>
            </w:r>
          </w:p>
        </w:tc>
        <w:tc>
          <w:tcPr>
            <w:tcW w:w="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7.02</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Exercisable at September 30, 2023</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3,721,875</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 w:right="279"/>
        <w:spacing w:after="0" w:line="243" w:lineRule="auto"/>
        <w:rPr>
          <w:sz w:val="20"/>
          <w:szCs w:val="20"/>
          <w:color w:val="auto"/>
        </w:rPr>
      </w:pPr>
      <w:r>
        <w:rPr>
          <w:rFonts w:ascii="Arial" w:cs="Arial" w:eastAsia="Arial" w:hAnsi="Arial"/>
          <w:sz w:val="18"/>
          <w:szCs w:val="18"/>
          <w:color w:val="auto"/>
        </w:rPr>
        <w:t>The weighted average grant date fair value of awards for options granted during the nine months ended September 30, 2023 was $3.04. As of September 30, 2023, there was $19,084 of total unrecognized compensation expense related to unvested stock options with time-based vesting terms, which is expected to be recognized over a weighted average period of 2.73 years.</w:t>
      </w:r>
    </w:p>
    <w:p>
      <w:pPr>
        <w:spacing w:after="0" w:line="147"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color w:val="auto"/>
        </w:rPr>
        <w:t>The Company estimates the fair value of its option awards to employees and directors using Black-Scholes. Due to the lack of substantial company-specific historical and implied volatility data of its common stock, the Company has based its estimate of expected volatility on the historical volatility of a group of similar public companies.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860" w:type="dxa"/>
            <w:vAlign w:val="bottom"/>
            <w:tcBorders>
              <w:top w:val="single" w:sz="8" w:color="auto"/>
            </w:tcBorders>
          </w:tcPr>
          <w:p>
            <w:pPr>
              <w:spacing w:after="0"/>
              <w:rPr>
                <w:sz w:val="15"/>
                <w:szCs w:val="15"/>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color w:val="auto"/>
              </w:rPr>
              <w:t>September 30, 2022</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December 31, 2022</w:t>
            </w:r>
          </w:p>
        </w:tc>
      </w:tr>
      <w:tr>
        <w:trPr>
          <w:trHeight w:val="196"/>
        </w:trPr>
        <w:tc>
          <w:tcPr>
            <w:tcW w:w="5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dividend rate</w:t>
            </w: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Expected option term (years)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6.04</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180" w:type="dxa"/>
            <w:vAlign w:val="bottom"/>
          </w:tcPr>
          <w:p>
            <w:pPr>
              <w:spacing w:after="0"/>
              <w:rPr>
                <w:sz w:val="17"/>
                <w:szCs w:val="17"/>
                <w:color w:val="auto"/>
              </w:rPr>
            </w:pPr>
          </w:p>
        </w:tc>
      </w:tr>
      <w:tr>
        <w:trPr>
          <w:trHeight w:val="203"/>
        </w:trPr>
        <w:tc>
          <w:tcPr>
            <w:tcW w:w="5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78.51 %</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69.73 %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3.65 %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1.08 %</w:t>
            </w:r>
          </w:p>
        </w:tc>
      </w:tr>
    </w:tbl>
    <w:p>
      <w:pPr>
        <w:spacing w:after="0" w:line="163" w:lineRule="exact"/>
        <w:rPr>
          <w:sz w:val="20"/>
          <w:szCs w:val="20"/>
          <w:color w:val="auto"/>
        </w:rPr>
      </w:pPr>
    </w:p>
    <w:p>
      <w:pPr>
        <w:ind w:left="60" w:right="379"/>
        <w:spacing w:after="0" w:line="247" w:lineRule="auto"/>
        <w:rPr>
          <w:sz w:val="20"/>
          <w:szCs w:val="20"/>
          <w:color w:val="auto"/>
        </w:rPr>
      </w:pPr>
      <w:r>
        <w:rPr>
          <w:rFonts w:ascii="Arial" w:cs="Arial" w:eastAsia="Arial" w:hAnsi="Arial"/>
          <w:sz w:val="18"/>
          <w:szCs w:val="18"/>
          <w:color w:val="auto"/>
        </w:rPr>
        <w:t>Stock-based compensation expense recorded under ASC 718 related to stock options granted and common stock issued under the 2021 Employee Stock Purchase Plan (the “ESPP”) were allocated to research and development and general and administrative expense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color w:val="auto"/>
              </w:rPr>
              <w:t>Nine Months EndedNine Months Ended</w:t>
            </w:r>
          </w:p>
        </w:tc>
      </w:tr>
      <w:tr>
        <w:trPr>
          <w:trHeight w:val="203"/>
        </w:trPr>
        <w:tc>
          <w:tcPr>
            <w:tcW w:w="63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color w:val="auto"/>
              </w:rPr>
              <w:t>September 30,</w:t>
            </w: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September 30,</w:t>
            </w:r>
          </w:p>
        </w:tc>
      </w:tr>
      <w:tr>
        <w:trPr>
          <w:trHeight w:val="208"/>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2022</w:t>
            </w:r>
          </w:p>
        </w:tc>
      </w:tr>
      <w:tr>
        <w:trPr>
          <w:trHeight w:val="202"/>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6,504</w:t>
            </w:r>
          </w:p>
        </w:tc>
        <w:tc>
          <w:tcPr>
            <w:tcW w:w="3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3,728</w:t>
            </w:r>
          </w:p>
        </w:tc>
      </w:tr>
      <w:tr>
        <w:trPr>
          <w:trHeight w:val="202"/>
        </w:trPr>
        <w:tc>
          <w:tcPr>
            <w:tcW w:w="63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4,556</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4,209</w:t>
            </w:r>
          </w:p>
        </w:tc>
      </w:tr>
      <w:tr>
        <w:trPr>
          <w:trHeight w:val="196"/>
        </w:trPr>
        <w:tc>
          <w:tcPr>
            <w:tcW w:w="63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stock-based compensation</w:t>
            </w:r>
          </w:p>
        </w:tc>
        <w:tc>
          <w:tcPr>
            <w:tcW w:w="36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11,060</w:t>
            </w:r>
          </w:p>
        </w:tc>
        <w:tc>
          <w:tcPr>
            <w:tcW w:w="32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7,937</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Stock-based compensation expense by award type included within the condensed consolidated statements of operations is as follows: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-122555</wp:posOffset>
            </wp:positionV>
            <wp:extent cx="564896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Restricted stock units</w:t>
      </w:r>
    </w:p>
    <w:p>
      <w:pPr>
        <w:ind w:left="60"/>
        <w:spacing w:after="0" w:line="234" w:lineRule="auto"/>
        <w:rPr>
          <w:sz w:val="20"/>
          <w:szCs w:val="20"/>
          <w:color w:val="auto"/>
        </w:rPr>
      </w:pPr>
      <w:r>
        <w:rPr>
          <w:rFonts w:ascii="Arial" w:cs="Arial" w:eastAsia="Arial" w:hAnsi="Arial"/>
          <w:sz w:val="18"/>
          <w:szCs w:val="18"/>
          <w:color w:val="auto"/>
        </w:rPr>
        <w:t>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4896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Total stock-based compensation</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Nine Months EndedNine Months Ended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00" w:type="dxa"/>
            <w:vAlign w:val="bottom"/>
            <w:gridSpan w:val="2"/>
          </w:tcPr>
          <w:p>
            <w:pPr>
              <w:ind w:left="140"/>
              <w:spacing w:after="0"/>
              <w:rPr>
                <w:sz w:val="20"/>
                <w:szCs w:val="20"/>
                <w:color w:val="auto"/>
              </w:rPr>
            </w:pPr>
            <w:r>
              <w:rPr>
                <w:rFonts w:ascii="Arial" w:cs="Arial" w:eastAsia="Arial" w:hAnsi="Arial"/>
                <w:sz w:val="14"/>
                <w:szCs w:val="14"/>
                <w:color w:val="auto"/>
              </w:rPr>
              <w:t>September 30,</w:t>
            </w: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September 30,</w:t>
            </w:r>
          </w:p>
        </w:tc>
      </w:tr>
      <w:tr>
        <w:trPr>
          <w:trHeight w:val="209"/>
        </w:trPr>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2022</w:t>
            </w:r>
          </w:p>
        </w:tc>
      </w:tr>
      <w:tr>
        <w:trPr>
          <w:trHeight w:val="189"/>
        </w:trPr>
        <w:tc>
          <w:tcPr>
            <w:tcW w:w="360" w:type="dxa"/>
            <w:vAlign w:val="bottom"/>
          </w:tcPr>
          <w:p>
            <w:pPr>
              <w:ind w:left="140"/>
              <w:spacing w:after="0" w:line="189"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7,919</w:t>
            </w:r>
          </w:p>
        </w:tc>
        <w:tc>
          <w:tcPr>
            <w:tcW w:w="320" w:type="dxa"/>
            <w:vAlign w:val="bottom"/>
          </w:tcPr>
          <w:p>
            <w:pPr>
              <w:ind w:left="100"/>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7,202</w:t>
            </w:r>
          </w:p>
        </w:tc>
      </w:tr>
      <w:tr>
        <w:trPr>
          <w:trHeight w:val="203"/>
        </w:trPr>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2,774</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735</w:t>
            </w:r>
          </w:p>
        </w:tc>
      </w:tr>
      <w:tr>
        <w:trPr>
          <w:trHeight w:val="215"/>
        </w:trPr>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36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11,060</w:t>
            </w:r>
          </w:p>
        </w:tc>
        <w:tc>
          <w:tcPr>
            <w:tcW w:w="3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7,937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43" w:lineRule="exact"/>
        <w:rPr>
          <w:sz w:val="20"/>
          <w:szCs w:val="20"/>
          <w:color w:val="auto"/>
        </w:rPr>
      </w:pPr>
    </w:p>
    <w:p>
      <w:pPr>
        <w:sectPr>
          <w:pgSz w:w="11900" w:h="16838" w:orient="portrait"/>
          <w:cols w:equalWidth="0" w:num="2">
            <w:col w:w="5680" w:space="720"/>
            <w:col w:w="2619"/>
          </w:cols>
          <w:pgMar w:left="1440" w:top="518"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summarizes RSU activity for the nine months ended September 30, 2023:</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34"/>
              <w:spacing w:after="0"/>
              <w:rPr>
                <w:sz w:val="20"/>
                <w:szCs w:val="20"/>
                <w:color w:val="auto"/>
              </w:rPr>
            </w:pPr>
            <w:r>
              <w:rPr>
                <w:rFonts w:ascii="Arial" w:cs="Arial" w:eastAsia="Arial" w:hAnsi="Arial"/>
                <w:sz w:val="14"/>
                <w:szCs w:val="14"/>
                <w:color w:val="auto"/>
              </w:rPr>
              <w:t>Weighted Average</w:t>
            </w:r>
          </w:p>
        </w:tc>
      </w:tr>
      <w:tr>
        <w:trPr>
          <w:trHeight w:val="215"/>
        </w:trPr>
        <w:tc>
          <w:tcPr>
            <w:tcW w:w="63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Grant Date Fair Value</w:t>
            </w:r>
          </w:p>
        </w:tc>
      </w:tr>
      <w:tr>
        <w:trPr>
          <w:trHeight w:val="196"/>
        </w:trPr>
        <w:tc>
          <w:tcPr>
            <w:tcW w:w="63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2022</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2,438,500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3.61</w:t>
            </w: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(175,305)</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r>
      <w:tr>
        <w:trPr>
          <w:trHeight w:val="196"/>
        </w:trPr>
        <w:tc>
          <w:tcPr>
            <w:tcW w:w="6360" w:type="dxa"/>
            <w:vAlign w:val="bottom"/>
          </w:tcPr>
          <w:p>
            <w:pPr>
              <w:ind w:left="20"/>
              <w:spacing w:after="0" w:line="196" w:lineRule="exact"/>
              <w:rPr>
                <w:sz w:val="20"/>
                <w:szCs w:val="20"/>
                <w:color w:val="auto"/>
              </w:rPr>
            </w:pPr>
            <w:r>
              <w:rPr>
                <w:rFonts w:ascii="Arial" w:cs="Arial" w:eastAsia="Arial" w:hAnsi="Arial"/>
                <w:sz w:val="18"/>
                <w:szCs w:val="18"/>
                <w:color w:val="auto"/>
              </w:rPr>
              <w:t>Total Unvested September 30, 2023</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2,263,195</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w:t>
            </w:r>
          </w:p>
        </w:tc>
      </w:tr>
      <w:tr>
        <w:trPr>
          <w:trHeight w:val="20"/>
        </w:trPr>
        <w:tc>
          <w:tcPr>
            <w:tcW w:w="6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As of September 30, 2023, there was $5,891 of total unrecognized compensation expense related to the unvested restricted stock with time-based vesting terms, which is expected to be recognized over a weighted average period of 1.70 years.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September 30, 2023 and December 31, 2022:</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6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r>
      <w:tr>
        <w:trPr>
          <w:trHeight w:val="167"/>
        </w:trPr>
        <w:tc>
          <w:tcPr>
            <w:tcW w:w="62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1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Grant Date Fair Value</w:t>
            </w: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Unvested December 31, 2022</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193,031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8.41</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(47,689)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Vested</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(95,877)</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196"/>
        </w:trPr>
        <w:tc>
          <w:tcPr>
            <w:tcW w:w="6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Unvested September 30, 2023</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49,465</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r>
      <w:tr>
        <w:trPr>
          <w:trHeight w:val="20"/>
        </w:trPr>
        <w:tc>
          <w:tcPr>
            <w:tcW w:w="6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As of September 30, 2023, there was $311 of total unrecognized compensation expense related to the unvested restricted stock with time-based vesting terms, which is expected to be recognized over a weighted average period of 1.48 years. All restricted stock vests over a four-year period.</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177" w:lineRule="exact"/>
        <w:rPr>
          <w:sz w:val="20"/>
          <w:szCs w:val="20"/>
          <w:color w:val="auto"/>
        </w:rPr>
      </w:pPr>
    </w:p>
    <w:p>
      <w:pPr>
        <w:jc w:val="both"/>
        <w:ind w:left="60" w:right="99"/>
        <w:spacing w:after="0" w:line="289" w:lineRule="auto"/>
        <w:rPr>
          <w:sz w:val="20"/>
          <w:szCs w:val="20"/>
          <w:color w:val="auto"/>
        </w:rPr>
      </w:pPr>
      <w:r>
        <w:rPr>
          <w:rFonts w:ascii="Arial" w:cs="Arial" w:eastAsia="Arial" w:hAnsi="Arial"/>
          <w:sz w:val="17"/>
          <w:szCs w:val="17"/>
          <w:color w:val="auto"/>
        </w:rPr>
        <w:t>Certain equity award holders early exercised unvested equity awards. The cash received upon early exercise of options of $906 was recorded as a deposit liability on the Company’s balance sheet as of September 30, 2023.</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 Stock Purchase Plan</w:t>
      </w:r>
    </w:p>
    <w:p>
      <w:pPr>
        <w:spacing w:after="0" w:line="177" w:lineRule="exact"/>
        <w:rPr>
          <w:sz w:val="20"/>
          <w:szCs w:val="20"/>
          <w:color w:val="auto"/>
        </w:rPr>
      </w:pPr>
    </w:p>
    <w:p>
      <w:pPr>
        <w:ind w:left="60" w:right="439"/>
        <w:spacing w:after="0" w:line="289" w:lineRule="auto"/>
        <w:rPr>
          <w:sz w:val="20"/>
          <w:szCs w:val="20"/>
          <w:color w:val="auto"/>
        </w:rPr>
      </w:pPr>
      <w:r>
        <w:rPr>
          <w:rFonts w:ascii="Arial" w:cs="Arial" w:eastAsia="Arial" w:hAnsi="Arial"/>
          <w:sz w:val="17"/>
          <w:szCs w:val="17"/>
          <w:color w:val="auto"/>
        </w:rPr>
        <w:t>The ESPP was adopted by the Board of Directors in May 2021. A total of 564,071 shares of common stock were initially reserved for issuance under this plan, which shall be increased, upon approval by the board of</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directors, on January 1, 2022 and each January 1 thereafter, to the lesser of (i) one percent (1%) of the outstanding shares of common stock on the last day of the immediately preceding fiscal year, or (ii) an amount determined by the board of directors no later than the last day of the immediately preceding fiscal year. For 2022, the ESPP reserved shares were increased under clause (i) by 550,055 shares, effective as of January 1, 2022. For 2023, the board waived the annual increase to the shares reserved under the ESPP. As of September 30, 2023, there were 1,014,018 shares available for issuance, under the ESPP.</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17—Related party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Agreements and Collaborative Agreements with Shareholder</w:t>
      </w:r>
    </w:p>
    <w:p>
      <w:pPr>
        <w:spacing w:after="0" w:line="177" w:lineRule="exact"/>
        <w:rPr>
          <w:sz w:val="20"/>
          <w:szCs w:val="20"/>
          <w:color w:val="auto"/>
        </w:rPr>
      </w:pPr>
    </w:p>
    <w:p>
      <w:pPr>
        <w:ind w:left="60" w:right="419"/>
        <w:spacing w:after="0" w:line="260" w:lineRule="auto"/>
        <w:rPr>
          <w:sz w:val="20"/>
          <w:szCs w:val="20"/>
          <w:color w:val="auto"/>
        </w:rPr>
      </w:pPr>
      <w:r>
        <w:rPr>
          <w:rFonts w:ascii="Arial" w:cs="Arial" w:eastAsia="Arial" w:hAnsi="Arial"/>
          <w:sz w:val="18"/>
          <w:szCs w:val="18"/>
          <w:color w:val="auto"/>
        </w:rPr>
        <w:t>The Company owns licenses and other contracts with FUJIFILM Cellular Dynamics, Inc. (“FCDI”). FCDI is a shareholder of Century. The acquired licenses and other contracts with FCDI are as follows: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Agreements</w:t>
      </w:r>
    </w:p>
    <w:p>
      <w:pPr>
        <w:spacing w:after="0" w:line="191"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The Company owns a non-exclusive license agreement with FCDI. The license provides the Company with certain patents and know-how related to the reprogramming of human somatic cells to induce pluripotent stem cells (“iPSCs”) (“Reprogramming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49"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The Company also owns an exclusive license agreement with FCDI (“Differentiation Licenses Agreement”). The Differentiation Licenses Agreement provides the Company with patents and know-how related to human iPSC exclusively manufactured by FCDI.</w:t>
      </w:r>
    </w:p>
    <w:p>
      <w:pPr>
        <w:spacing w:after="0" w:line="144"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In October 2019, the Company entered into the Master Collaboration Agreement with FCDI (“Collaboration Agreement”), whereby FCDI provides certain services to the Company to develop and manufacture iPSCs and immune cells derived therefrom. FCDI provides services in accordance with the approved research plan and related research budget. The initial research plan covered the period from October 2019 through March 31, 2022. In July, 2022 the Company amended the Collaboration Agreement to extend the term through September 30, 2025, and in September 2023, the Company amended the Collaboration Agreement in connection with the Autoimmune License (as defined below).</w:t>
      </w:r>
    </w:p>
    <w:p>
      <w:pPr>
        <w:spacing w:after="0" w:line="164" w:lineRule="exact"/>
        <w:rPr>
          <w:sz w:val="20"/>
          <w:szCs w:val="20"/>
          <w:color w:val="auto"/>
        </w:rPr>
      </w:pPr>
    </w:p>
    <w:p>
      <w:pPr>
        <w:jc w:val="both"/>
        <w:ind w:left="60" w:right="1099"/>
        <w:spacing w:after="0" w:line="247" w:lineRule="auto"/>
        <w:rPr>
          <w:sz w:val="20"/>
          <w:szCs w:val="20"/>
          <w:color w:val="auto"/>
        </w:rPr>
      </w:pPr>
      <w:r>
        <w:rPr>
          <w:rFonts w:ascii="Arial" w:cs="Arial" w:eastAsia="Arial" w:hAnsi="Arial"/>
          <w:sz w:val="18"/>
          <w:szCs w:val="18"/>
          <w:color w:val="auto"/>
        </w:rPr>
        <w:t>In March, 2021, the Company entered into a Manufacturing Agreement with FCDI, (“Manufacturing Agreement”), pursuant to which FCDI will provide certain agreed upon technology transfer, process development, analytical testing and cGMP manufacturing services to the Company.</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January, 2022, the Company and FCDI entered into a letter agreement (the “Letter Agreement”), which</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amended the Reprogramming License Agreement, Differentiation License Agreement and Manufacturing</w:t>
      </w:r>
    </w:p>
    <w:p>
      <w:pPr>
        <w:ind w:left="60"/>
        <w:spacing w:after="0" w:line="234" w:lineRule="auto"/>
        <w:rPr>
          <w:sz w:val="20"/>
          <w:szCs w:val="20"/>
          <w:color w:val="auto"/>
        </w:rPr>
      </w:pPr>
      <w:r>
        <w:rPr>
          <w:rFonts w:ascii="Arial" w:cs="Arial" w:eastAsia="Arial" w:hAnsi="Arial"/>
          <w:sz w:val="18"/>
          <w:szCs w:val="18"/>
          <w:color w:val="auto"/>
        </w:rPr>
        <w:t>Agreement and Manufacturing Agreement (the “FCDI Agreements”) pursuant to the Company’s Research</w:t>
      </w:r>
    </w:p>
    <w:p>
      <w:pPr>
        <w:ind w:left="60"/>
        <w:spacing w:after="0" w:line="235" w:lineRule="auto"/>
        <w:rPr>
          <w:sz w:val="20"/>
          <w:szCs w:val="20"/>
          <w:color w:val="auto"/>
        </w:rPr>
      </w:pPr>
      <w:r>
        <w:rPr>
          <w:rFonts w:ascii="Arial" w:cs="Arial" w:eastAsia="Arial" w:hAnsi="Arial"/>
          <w:sz w:val="18"/>
          <w:szCs w:val="18"/>
          <w:color w:val="auto"/>
        </w:rPr>
        <w:t>Collaboration and License Agreement with Bristol-Myers Squibb. Pursuant to the Letter Agreement, and in</w:t>
      </w:r>
    </w:p>
    <w:p>
      <w:pPr>
        <w:ind w:left="60"/>
        <w:spacing w:after="0" w:line="235" w:lineRule="auto"/>
        <w:rPr>
          <w:sz w:val="20"/>
          <w:szCs w:val="20"/>
          <w:color w:val="auto"/>
        </w:rPr>
      </w:pPr>
      <w:r>
        <w:rPr>
          <w:rFonts w:ascii="Arial" w:cs="Arial" w:eastAsia="Arial" w:hAnsi="Arial"/>
          <w:sz w:val="18"/>
          <w:szCs w:val="18"/>
          <w:color w:val="auto"/>
        </w:rPr>
        <w:t>consideration for amending the FCDI Agreements, the Company will pay to FCDI an upfront payment of</w:t>
      </w:r>
    </w:p>
    <w:p>
      <w:pPr>
        <w:ind w:left="100"/>
        <w:spacing w:after="0" w:line="235" w:lineRule="auto"/>
        <w:rPr>
          <w:sz w:val="20"/>
          <w:szCs w:val="20"/>
          <w:color w:val="auto"/>
        </w:rPr>
      </w:pPr>
      <w:r>
        <w:rPr>
          <w:rFonts w:ascii="Arial" w:cs="Arial" w:eastAsia="Arial" w:hAnsi="Arial"/>
          <w:sz w:val="18"/>
          <w:szCs w:val="18"/>
          <w:color w:val="auto"/>
        </w:rPr>
        <w:t>$10,000, and will pay FCDI (i) a percentage of any milestone payments received by the Company under the</w:t>
      </w:r>
    </w:p>
    <w:p>
      <w:pPr>
        <w:ind w:left="60"/>
        <w:spacing w:after="0" w:line="235" w:lineRule="auto"/>
        <w:rPr>
          <w:sz w:val="20"/>
          <w:szCs w:val="20"/>
          <w:color w:val="auto"/>
        </w:rPr>
      </w:pPr>
      <w:r>
        <w:rPr>
          <w:rFonts w:ascii="Arial" w:cs="Arial" w:eastAsia="Arial" w:hAnsi="Arial"/>
          <w:sz w:val="18"/>
          <w:szCs w:val="18"/>
          <w:color w:val="auto"/>
        </w:rPr>
        <w:t>FCDI Collaboration Agreement in respect of achievement of development or regulatory milestones specific to</w:t>
      </w:r>
    </w:p>
    <w:p>
      <w:pPr>
        <w:ind w:left="60"/>
        <w:spacing w:after="0" w:line="234" w:lineRule="auto"/>
        <w:rPr>
          <w:sz w:val="20"/>
          <w:szCs w:val="20"/>
          <w:color w:val="auto"/>
        </w:rPr>
      </w:pPr>
      <w:r>
        <w:rPr>
          <w:rFonts w:ascii="Arial" w:cs="Arial" w:eastAsia="Arial" w:hAnsi="Arial"/>
          <w:sz w:val="18"/>
          <w:szCs w:val="18"/>
          <w:color w:val="auto"/>
        </w:rPr>
        <w:t>Japan, and (ii) a percentage of all royalties received by the Company under the FCDI Collaboration Agreement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respect of sales of products in Japan.</w:t>
      </w:r>
    </w:p>
    <w:p>
      <w:pPr>
        <w:spacing w:after="0" w:line="15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September, 2023 the Company and FCDI entered into a worldwide license agreement whereby FCDI will grant non-exclusive licenses to the Company for certain patent rights and know-how related to cell differentiation and reprogramming for the development and commercialization of iPSC-derived therapies for the treatment of inflammatory and autoimmune diseases (the “Autoimmune License”). In addition, the Company and FCDI entered into an amendment to each of the Reprogramming License and the Differentiation License to expand the licenses related to the development and commercialization of iPSC-derived cancer immunotherapeutics to also include inflammatory and autoimmune diseases. Under the terms of these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agreements, FCDI will be eligible to receive certain development and regulatory milestone payments as well as low single-digit royalties related to products developed in connection with such agreements. The Company recorded an upfront payment in the amount of $4,000 which is included as In-process research and development in the consolidated statements of operations and comprehensive loss for the three and nine months ended September 30, 2023.</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three and nine months ended September 30, 2023, the amounts paid to FCDI were immaterial.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three and nine months ended September 30, 2022, the Company made payments of $866 and</w:t>
      </w:r>
    </w:p>
    <w:p>
      <w:pPr>
        <w:spacing w:after="0" w:line="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$6,717 and incurred research and development expenses of $280 and $4,117, and legal fees of $21 and $112, recorded within general and administrative expenses in its consolidated statements of operations and comprehensive loss. As of September 30, 2022, there was $721 in accrued expenses related to this agreement on the consolidated balance sheets.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177" w:lineRule="exact"/>
        <w:rPr>
          <w:sz w:val="20"/>
          <w:szCs w:val="20"/>
          <w:color w:val="auto"/>
        </w:rPr>
      </w:pPr>
    </w:p>
    <w:p>
      <w:pPr>
        <w:jc w:val="both"/>
        <w:ind w:left="60" w:right="219"/>
        <w:spacing w:after="0" w:line="243" w:lineRule="auto"/>
        <w:rPr>
          <w:sz w:val="20"/>
          <w:szCs w:val="20"/>
          <w:color w:val="auto"/>
        </w:rPr>
      </w:pPr>
      <w:r>
        <w:rPr>
          <w:rFonts w:ascii="Arial" w:cs="Arial" w:eastAsia="Arial" w:hAnsi="Arial"/>
          <w:sz w:val="18"/>
          <w:szCs w:val="18"/>
          <w:color w:val="auto"/>
        </w:rPr>
        <w:t>Bayer Health, LLC (“Bayer”) has the right of first refusal to acquire certain products researched and developed by the Company. Subject to certain exceptions, Bayer’s right of first refusal is exercisable with respect to up to four products and may only exercise these option rights in a non-sequential and alternating manner, and such rights are subject to additional limitations.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18—Impairment on Long-Lived Assets</w:t>
      </w:r>
    </w:p>
    <w:p>
      <w:pPr>
        <w:spacing w:after="0" w:line="17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the second quarter of 2023, the Company made the strategic decision to consolidate two of its existing leased lab facilities in Philadelphia. The company concluded it would exit one of the leases early and as a result the Company completed an impairment analysis of its right of use asset related to this lease along with the related property and equipment at this facility. The Company reviewed its long-lived assets for impairment following Financial Accounting Standards Board’s Accounting Standards Codification (ASC) 360 for Property, Plant, and Equipment. The Company evaluated its long-lived assets for recoverability due to changes in circumstances that indicated that the carrying amounts may not be recoverable.</w:t>
      </w:r>
    </w:p>
    <w:p>
      <w:pPr>
        <w:spacing w:after="0" w:line="150"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The Company reviewed its property and equipment related assets for impairment by comparing the carrying values of the assets with their estimated future undiscounted cash flows. Impairment charge was calculated as the difference between asset carrying values and fair value as discounted cash flows, indicative fair market quotes received which are considered level three fair value estimates.</w:t>
      </w:r>
    </w:p>
    <w:p>
      <w:pPr>
        <w:spacing w:after="0" w:line="161"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Company analyzed its right-of used assets for impairment based on fair values calculated as discounted cash flows estimated to be received from the lease assets where applicable. The difference between fair value and carrying value of the right of use asset was recognized as an impairment in June 2023 of $4,220.</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19—Subsequent Events</w:t>
      </w:r>
    </w:p>
    <w:p>
      <w:pPr>
        <w:spacing w:after="0" w:line="189"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The Company has evaluated subsequent events through the filing of this Quarterly Report on Form 10-Q, and determined that there have been no events that have occurred that would require adjustments to our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2022 and the related Management’s Discussion and Analysis of Financial Condition and Results of Operations, which are contained in our Annual Report on Form 10-K filed with the Securities and Exchange Commission on March 16, 2023, or the“Annual Report”. This Quarterly Report on Form 10-Q contains “forward-looking statements” within the meaning of Section 27A of the Securities Act and Section 21E of the Securities Exchange Act of 1934, as amended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in our Annual Report. Except as required by law, we undertake no obligation to update these forward-looking statements to reflect events or circumstances after the date of this report or to reflect actual outcomes.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8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Allo-EvasionTM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171"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conducting our ELiPSE-1 clinical trial, undertaking preclinical studies and in-licensing intellectual property. All of our programs are currently in the development stage, and we do not have any products approved for sale. Since our inception, we have incurred net losses each year. We had an accumulated deficit of $616.4 million as of September 30, 2023. Substantially all of our losses have resulted from expenses incurred in connection with our research and development programs, the acquisition of in-process research and development and from general and administrative costs associated with our operations.</w:t>
      </w:r>
    </w:p>
    <w:p>
      <w:pPr>
        <w:spacing w:after="0" w:line="15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June 2021, we completed our initial public offering, or IPO, in which we issued and sold 12,132,500 shares of our common stock, at a public offering price of $20.00 per share. We received net proceeds of $ 221.4 million after deducting underwriting discounts, commissions, and other offering costs of $21.2 million in the aggregate. To date, we have funded our operations from the issuance and sale of our equity securities and the receipt of payments from Bristol-Myers Squibb, in connection with our collaborations as described below, and have not generated any revenues. Since our inception, we have raised approximately $591 million in net proceeds from sales of our equity securities. As of September 30, 2023, we had cash and cash equivalents of $55.3 million and investments of $229.0 million.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2" w:lineRule="auto"/>
        <w:rPr>
          <w:sz w:val="20"/>
          <w:szCs w:val="20"/>
          <w:color w:val="auto"/>
        </w:rPr>
      </w:pPr>
      <w:r>
        <w:rPr>
          <w:rFonts w:ascii="Arial" w:cs="Arial" w:eastAsia="Arial" w:hAnsi="Arial"/>
          <w:sz w:val="17"/>
          <w:szCs w:val="17"/>
          <w:color w:val="auto"/>
        </w:rPr>
        <w:t>In August 2022, the FDA notified us that our ELiPSE-1 clinical trial may proceed to assess CNTY-101 in patients with relapsed or refractory CD19 positive B-cell malignancies. The phase 1 trial, ELiPSE-1, is intended to assess the safety, tolerability, pharmacokinetics and preliminary efficacy of CNTY-101 in patients with relapsed or refractory CD19-positive B-cell malignancies. We initiated our phase 1 trial and in February 2023, we began dosing patients in ELiPSE-1, evaluating CNTY-101. In November, 2023, we announced preliminary clinical data from a case study of a patient participating in the ELiPSE-1 clinical trial. The patient, who received four prior lines of therapy, completed four 28-day cycles of CNTY-101 at the 100 million cell does level (Dose Level 1), the first two of which were administered following lymphodepletion while the most recent two were administered without lymphodepletion. CNTY-101 was well tolerated, with no measurable functional pre-existing or induced anti-drug-antibodies observed. Pharmacokinetic measurements demonstrated that CNTY-101 cells were detected after each infusion with comparable kinetics, with a limited duration in circulation. The patient achieved a complete response that is ongoing as of five months following their first CNTY-101 infusion.</w:t>
      </w:r>
    </w:p>
    <w:p>
      <w:pPr>
        <w:spacing w:after="0" w:line="15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January 2023, we announced a strategic internal portfolio prioritization through which, among other discovery efforts, CNTY-103, a CAR-iNK product targeting CD133 and a discovery program for hematological malignancies, was de -prioritized, allowing us to further prioritize our CNTY-102 and CNTY-107 product candidates, which we believe have a higher probability of technical success and greater market potential. As a result of the operational restructuring, lab operations in Seattle and Hamilton, Ontario, have been closed and research activities have been consolidated in Philadelphia.</w:t>
      </w:r>
    </w:p>
    <w:p>
      <w:pPr>
        <w:spacing w:after="0" w:line="15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Based on our current business plans and the January 2023 strategic reprioritization, we believe, our cash, cash equivalents and investments as of September 30, 2023, will be sufficient for us to fund our operating expenses and capital expenditures requirements into 2026.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154"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advance our iPSC cell therapy platforms;</w:t>
      </w:r>
    </w:p>
    <w:p>
      <w:pPr>
        <w:spacing w:after="0" w:line="198" w:lineRule="exact"/>
        <w:rPr>
          <w:rFonts w:ascii="Arial" w:cs="Arial" w:eastAsia="Arial" w:hAnsi="Arial"/>
          <w:sz w:val="18"/>
          <w:szCs w:val="18"/>
          <w:color w:val="auto"/>
        </w:rPr>
      </w:pPr>
    </w:p>
    <w:p>
      <w:pPr>
        <w:ind w:left="380" w:right="559" w:hanging="330"/>
        <w:spacing w:after="0" w:line="26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progress clinical development of CNTY-101 and continue preclinical development of our other product candidates;</w:t>
      </w:r>
    </w:p>
    <w:p>
      <w:pPr>
        <w:spacing w:after="0" w:line="132" w:lineRule="exact"/>
        <w:rPr>
          <w:rFonts w:ascii="Arial" w:cs="Arial" w:eastAsia="Arial" w:hAnsi="Arial"/>
          <w:sz w:val="18"/>
          <w:szCs w:val="18"/>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and validate our own clinical-scale current good manufacturing practices, or cGMP, facilities;</w:t>
      </w:r>
    </w:p>
    <w:p>
      <w:pPr>
        <w:spacing w:after="0" w:line="198" w:lineRule="exact"/>
        <w:rPr>
          <w:rFonts w:ascii="Arial" w:cs="Arial" w:eastAsia="Arial" w:hAnsi="Arial"/>
          <w:sz w:val="18"/>
          <w:szCs w:val="18"/>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98" w:lineRule="exact"/>
        <w:rPr>
          <w:rFonts w:ascii="Arial" w:cs="Arial" w:eastAsia="Arial" w:hAnsi="Arial"/>
          <w:sz w:val="18"/>
          <w:szCs w:val="18"/>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85"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We are also investing early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49"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CNTY-101, CNTY-102, and CNTY-107, as well as CNTY-104 and CNTY-106 in collaboration with Bristol-Myers Squibb. Until such time, if ever, as we can generate significant product revenue, we expect to finance our operations with our existing cash and cash equivalents, investments,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91"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The COVID-19 pandemic may cyclically continue to adversely affect our business, financial condition and results of operations. Although the Department of Health and Human Services announced that the federal public health emergency for COVID-19 ended on May 11, 2023 in the United States, we expect the trends that emerged as a result of the pandemic may continue to result in disruptions to the global economy, as well as businesses and capital markets around the world. We previously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 The extent to which the ongoing effects of the pandemic may affect our preclinical studies, clinical trials, business, financial condition, and results of operations will depend on future developments, which are uncertain and cannot be predicted at this time.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19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On January 7, 2022, we entered into the Research, Collaboration and License Agreement, with Bristol-Myers Squibb, or the Collaboration Agreement, to collaborate on the research, development and commercialization of iNK and iT cell programs for hematologic malignancies and solid tumors, or the Collaboration Program, and each product candidate, a Development Candidate. We and Bristol-Myers Squibb will initially collaborate on two Collaboration Programs focused on acute myeloid leukemia, or AML, and multiple myeloma, or MM, and Bristol-Myers Squibb has the option to add up to two additional Collaboration Programs for an additional fee. We are responsible for generating Development Candidates for each Collaboration Program, and Bristol-Myers Squibb has the option to elect to exclusively license the Development Candidates for pre-clinical development, clinical development and commercialization on a worldwide basis, or the License Option. Following Bristol-Myers Squibb’s exercise of the License Option, we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We have the option to co-promote Development Candidates generated from certain specified Collaboration Programs.</w:t>
      </w:r>
    </w:p>
    <w:p>
      <w:pPr>
        <w:spacing w:after="0" w:line="160"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 million and will pay an exercise fee upon the exercise of the License Option, or the Licensed Program, and product candidates developed under a Licensed Program, the Licensed Products. For each Licensed Program, Bristol-Myers Squibb will pay up to $235 million in milestone payments upon the first achievement of certain development and regulatory milestones and will pay up to $ 500 million per Licensed Product in net sales-based milestone payments. Bristol-Myers Squibb will also pay us tiered royalties per Licensed Product as a percentage of net sales in the high-single digits to low-teens, subject to certain adjustments.</w:t>
      </w:r>
    </w:p>
    <w:p>
      <w:pPr>
        <w:spacing w:after="0" w:line="153" w:lineRule="exact"/>
        <w:rPr>
          <w:sz w:val="20"/>
          <w:szCs w:val="20"/>
          <w:color w:val="auto"/>
        </w:rPr>
      </w:pPr>
    </w:p>
    <w:p>
      <w:pPr>
        <w:ind w:left="60" w:right="219"/>
        <w:spacing w:after="0" w:line="243" w:lineRule="auto"/>
        <w:rPr>
          <w:sz w:val="20"/>
          <w:szCs w:val="20"/>
          <w:color w:val="auto"/>
        </w:rPr>
      </w:pPr>
      <w:r>
        <w:rPr>
          <w:rFonts w:ascii="Arial" w:cs="Arial" w:eastAsia="Arial" w:hAnsi="Arial"/>
          <w:sz w:val="18"/>
          <w:szCs w:val="18"/>
          <w:color w:val="auto"/>
        </w:rPr>
        <w:t>In connection with the Collaboration Agreement, Bristol-Myers Squibb purchased 2,160,760 shares of our common stock at a price per share of $23.14, for an aggregate purchase price of $50 million. We determined the common stock purchase represented a premium of $ 7.82 per share, or $23.2 million in the aggregate, and the remaining $26.8 million was recorded as issuance of common stock in stockholders’ equity.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We identified the following commitments under the arrangement: (i) research and development services under each of the two initial Collaboration Programs and (ii) License Option to elect to exclusively license the Development Candidates for each of the two initial Collaboration Programs. We determined that these four commitments represent distinct performance obligations for purposes of recognizing revenue and will recognize revenue as we fulfill each performance obligation.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181"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FCDI received 2,980,803 shares of common stock in connection with the Reorganization.</w:t>
      </w:r>
    </w:p>
    <w:p>
      <w:pPr>
        <w:spacing w:after="0" w:line="1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Also on September 18, 2018, we entered into the non-exclusive license, or the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In connection with the Reprogramming License, we entered into a collaboration agreement, or the FCDI Collaboration Agreement, with FCDI pursuant to which we agreed to fund research and development work at FCDI pursuant to a research plan.</w:t>
      </w:r>
    </w:p>
    <w:p>
      <w:pPr>
        <w:spacing w:after="0" w:line="19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June 30, 2022. On July 29, 2022, we amended the FCDI Collaboration Agreement to extend the term through September 30, 2025.</w:t>
      </w:r>
    </w:p>
    <w:p>
      <w:pPr>
        <w:spacing w:after="0" w:line="19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January 7, 2022, we and FCDI entered into a letter agreement, or the Letter Agreement, which amends each of the FCDI agreements as further discussed in Note 10 to our consolidated financial statements. Pursuant to the Letter Agreement, and in consideration for amending the FCDI Agreements, we agreed to pay to FCDI (i) an upfront payment of $10 million,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September 22, 2023, we and FCDI entered into a worldwide license agreement whereby FCDI will grant non-exclusive licenses to us for certain patent rights and know-how related to cell differentiation and reprogramming for the development and commercialization of iPSC-derived therapies for the treatment of inflammatory and autoimmune diseases, or Autoimmune License. Under the terms of the Autoimmune License, FCDI will be eligible to receive certain development and regulatory milestone payments as well as low single-digit royalties related to products developed in connection with the Autoimmune License. In addition, on September 22, 2023, we and FCDI amended the Reprogramming License, Differentiation License and the Collaboration Agreement to expand our existing license related to the development and commercialization of iPSC-derived cancer immunotherapeutic to also include inflammatory and autoimmune diseases. In connection with the entry into the Autoimmune License and the amendments to the Reprogramming License and Differentiation License, the Company recorded an upfront payment in the amount of $4 million which is included as In-process research and development in the consolidated statements of operations and comprehensive loss for the three and nine months ended September 30, 2023.</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three and nine months ended September 30, 2023, the amounts paid to FCDI were immaterial.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43" w:lineRule="auto"/>
        <w:rPr>
          <w:sz w:val="20"/>
          <w:szCs w:val="20"/>
          <w:color w:val="auto"/>
        </w:rPr>
      </w:pPr>
      <w:r>
        <w:rPr>
          <w:rFonts w:ascii="Arial" w:cs="Arial" w:eastAsia="Arial" w:hAnsi="Arial"/>
          <w:sz w:val="18"/>
          <w:szCs w:val="18"/>
          <w:color w:val="auto"/>
        </w:rPr>
        <w:t>During the three and nine months ended September 30, 2022, we made payments of $0.8 million and $ 6.7 million and incurred research and development expenses of $0.3 million and $4.1 million and legal fees of $0 and $0.1 million, recorded within general and administrative expenses in its consolidated statements of operations and comprehensive loss.</w:t>
      </w:r>
    </w:p>
    <w:p>
      <w:pPr>
        <w:spacing w:after="0" w:line="161"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color w:val="auto"/>
        </w:rPr>
        <w:t>From inception of the FCDI Collaboration Agreement through September 30, 2023, we incurred $36.3 million of expenses under the FCDI Collaboration Agreement.</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95"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have been generated through our collaboration, option and license agreement with Bristol-Myers Squibb. We recognize revenue over the expected performance period under this agreement. We expect that our revenue for the next several years will be derived primarily from this agreement and any additional collaborations that we may enter into in the future. To date, we have not received any royalties under any of our existing collaboration agreements.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191"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89" w:lineRule="exact"/>
        <w:rPr>
          <w:sz w:val="20"/>
          <w:szCs w:val="20"/>
          <w:color w:val="auto"/>
        </w:rPr>
      </w:pPr>
    </w:p>
    <w:p>
      <w:pPr>
        <w:ind w:left="60" w:right="139"/>
        <w:spacing w:after="0" w:line="262"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72" w:lineRule="exact"/>
        <w:rPr>
          <w:sz w:val="20"/>
          <w:szCs w:val="20"/>
          <w:color w:val="auto"/>
        </w:rPr>
      </w:pPr>
    </w:p>
    <w:p>
      <w:pPr>
        <w:ind w:left="60" w:right="199"/>
        <w:spacing w:after="0" w:line="258"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78"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77"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In-process research and development</w:t>
      </w:r>
    </w:p>
    <w:p>
      <w:pPr>
        <w:spacing w:after="0" w:line="191"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As a direct result of the execution of the Collaboration Agreement with Bristol-Myers Squibb, we incurred $10 million in fees to amend the FCDI agreement to gain access to the territory rights of Japan. See Note 10 to our consolidated financial statements. We incurred $4 million in fees to FCDI in 2023.</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Interest expense relates to interest incurred on the Loan Agreement we entered into with Hercules Capital, Inc., or Hercules, in 2020, as well as amortization of the related deferred financing cost. See Note 9 to our consolidated financial statements.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net consists of interest earned on our cash, cash equivalents and investment balances.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95" w:lineRule="exact"/>
        <w:rPr>
          <w:sz w:val="20"/>
          <w:szCs w:val="20"/>
          <w:color w:val="auto"/>
        </w:rPr>
      </w:pPr>
    </w:p>
    <w:p>
      <w:pPr>
        <w:ind w:left="60" w:right="79"/>
        <w:spacing w:after="0" w:line="258" w:lineRule="auto"/>
        <w:rPr>
          <w:sz w:val="20"/>
          <w:szCs w:val="20"/>
          <w:color w:val="auto"/>
        </w:rPr>
      </w:pPr>
      <w:r>
        <w:rPr>
          <w:rFonts w:ascii="Arial" w:cs="Arial" w:eastAsia="Arial" w:hAnsi="Arial"/>
          <w:sz w:val="17"/>
          <w:szCs w:val="17"/>
          <w:color w:val="auto"/>
        </w:rPr>
        <w:t>We have incurred losses and recorded a full valuation allowance on all of our net deferred tax assets. For the three months ended September 30, 2023, we recorded $0.6 million in provisions for income taxes in the accompanying consolidated financial statements. The main drivers of the tax provision during the quarter ended September 30, 2023 are taxable revenue related to the Collaboration Agreement with Bristol-Myers Squibb and the limitation of deductions for research and development under Section 174 of the Internal Revenue Code.</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September 30, 2023 and 2022</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7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Three Months Ended</w:t>
            </w: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September 30, 2023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2022</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3"/>
          </w:tcPr>
          <w:p>
            <w:pPr>
              <w:jc w:val="right"/>
              <w:ind w:right="410"/>
              <w:spacing w:after="0" w:line="142" w:lineRule="exact"/>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1820" w:type="dxa"/>
            <w:vAlign w:val="bottom"/>
            <w:gridSpan w:val="2"/>
            <w:shd w:val="clear" w:color="auto" w:fill="CCEEFF"/>
          </w:tcPr>
          <w:p>
            <w:pPr>
              <w:ind w:left="14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8,986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8,064</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In-process research and development</w:t>
            </w:r>
          </w:p>
        </w:tc>
        <w:tc>
          <w:tcPr>
            <w:tcW w:w="14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4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35,774</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33,962</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(35,626)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(31,738)</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3,486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1,411</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4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3,498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1,014</w:t>
            </w: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2,484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4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2"/>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(30,749)$</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20" w:type="dxa"/>
            <w:vAlign w:val="bottom"/>
            <w:vMerge w:val="restart"/>
          </w:tcPr>
          <w:p>
            <w:pPr>
              <w:jc w:val="right"/>
              <w:ind w:right="530"/>
              <w:spacing w:after="0"/>
              <w:rPr>
                <w:sz w:val="20"/>
                <w:szCs w:val="20"/>
                <w:color w:val="auto"/>
              </w:rPr>
            </w:pPr>
            <w:r>
              <w:rPr>
                <w:rFonts w:ascii="Arial" w:cs="Arial" w:eastAsia="Arial" w:hAnsi="Arial"/>
                <w:sz w:val="18"/>
                <w:szCs w:val="18"/>
                <w:color w:val="auto"/>
              </w:rPr>
              <w:t>38</w:t>
            </w: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7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37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8"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95"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During the three months ended September 30, 2023 and 2022, we recognized revenue of $0.1 and $2.2 million under our collaboration agreement with Bristol-Myers Squibb, respectively. Revenue recognized under the collaboration agreement fluctuates based on the amount and timing of expenses incurred under the agreement.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1" w:lineRule="exact"/>
        <w:rPr>
          <w:sz w:val="20"/>
          <w:szCs w:val="20"/>
          <w:color w:val="auto"/>
        </w:rPr>
      </w:pPr>
    </w:p>
    <w:p>
      <w:pPr>
        <w:ind w:left="60" w:right="399"/>
        <w:spacing w:after="0" w:line="260"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9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r>
        <w:trPr>
          <w:trHeight w:val="167"/>
        </w:trPr>
        <w:tc>
          <w:tcPr>
            <w:tcW w:w="49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September 30, 2023</w:t>
            </w:r>
          </w:p>
        </w:tc>
        <w:tc>
          <w:tcPr>
            <w:tcW w:w="20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color w:val="auto"/>
              </w:rPr>
              <w:t>September 30, 2022</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49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10,237</w:t>
            </w:r>
          </w:p>
        </w:tc>
        <w:tc>
          <w:tcPr>
            <w:tcW w:w="6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(968)</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Facility and other allocated costs</w:t>
            </w:r>
          </w:p>
        </w:tc>
        <w:tc>
          <w:tcPr>
            <w:tcW w:w="4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6,361</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5,272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1,089</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laboratory</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5,471</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(2,765)</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Collaborations</w:t>
            </w:r>
          </w:p>
        </w:tc>
        <w:tc>
          <w:tcPr>
            <w:tcW w:w="4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Consulting</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w:t>
            </w:r>
          </w:p>
        </w:tc>
      </w:tr>
      <w:tr>
        <w:trPr>
          <w:trHeight w:val="203"/>
        </w:trPr>
        <w:tc>
          <w:tcPr>
            <w:tcW w:w="49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w:t>
            </w: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w:t>
            </w:r>
          </w:p>
        </w:tc>
      </w:tr>
      <w:tr>
        <w:trPr>
          <w:trHeight w:val="196"/>
        </w:trPr>
        <w:tc>
          <w:tcPr>
            <w:tcW w:w="49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22,788</w:t>
            </w: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25,898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(3,110)</w:t>
            </w:r>
          </w:p>
        </w:tc>
      </w:tr>
      <w:tr>
        <w:trPr>
          <w:trHeight w:val="20"/>
        </w:trPr>
        <w:tc>
          <w:tcPr>
            <w:tcW w:w="4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and development expenses were $22.8 million and $25.9 million for the three months ended</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and 2022, respectively. The decrease of $3.1 million was primarily due to:</w:t>
      </w:r>
    </w:p>
    <w:p>
      <w:pPr>
        <w:spacing w:after="0" w:line="173" w:lineRule="exact"/>
        <w:rPr>
          <w:sz w:val="20"/>
          <w:szCs w:val="20"/>
          <w:color w:val="auto"/>
        </w:rPr>
      </w:pPr>
    </w:p>
    <w:p>
      <w:pPr>
        <w:ind w:left="380" w:right="219" w:hanging="330"/>
        <w:spacing w:after="0" w:line="24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personnel-related expenses of $1.0 million, including a decrease in salary and benefit expense of $2.0 million. These expenses were offset by an increase in stock based compensation of $0.8 million.</w:t>
      </w:r>
    </w:p>
    <w:p>
      <w:pPr>
        <w:spacing w:after="0" w:line="143" w:lineRule="exact"/>
        <w:rPr>
          <w:rFonts w:ascii="Arial" w:cs="Arial" w:eastAsia="Arial" w:hAnsi="Arial"/>
          <w:sz w:val="18"/>
          <w:szCs w:val="18"/>
          <w:color w:val="auto"/>
        </w:rPr>
      </w:pPr>
    </w:p>
    <w:p>
      <w:pPr>
        <w:ind w:left="380" w:right="739" w:hanging="330"/>
        <w:spacing w:after="0" w:line="26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$1.0 million of facility and other allocated costs, including an increase of depreciation expense of $0.6 million, and an increase in facilities services of $0.4 million.</w:t>
      </w:r>
    </w:p>
    <w:p>
      <w:pPr>
        <w:spacing w:after="0" w:line="132" w:lineRule="exact"/>
        <w:rPr>
          <w:rFonts w:ascii="Arial" w:cs="Arial" w:eastAsia="Arial" w:hAnsi="Arial"/>
          <w:sz w:val="18"/>
          <w:szCs w:val="18"/>
          <w:color w:val="auto"/>
        </w:rPr>
      </w:pPr>
    </w:p>
    <w:p>
      <w:pPr>
        <w:ind w:left="380" w:right="219" w:hanging="330"/>
        <w:spacing w:after="0" w:line="26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$2.8 million in research and laboratory due to our 2023 reorganization and reprioritization of early-stage programs and discovery platforms as well as a decline in sponsored research activities.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1" w:lineRule="exact"/>
        <w:rPr>
          <w:sz w:val="20"/>
          <w:szCs w:val="20"/>
          <w:color w:val="auto"/>
        </w:rPr>
      </w:pPr>
    </w:p>
    <w:p>
      <w:pPr>
        <w:jc w:val="both"/>
        <w:ind w:left="60" w:right="359"/>
        <w:spacing w:after="0" w:line="247" w:lineRule="auto"/>
        <w:rPr>
          <w:sz w:val="20"/>
          <w:szCs w:val="20"/>
          <w:color w:val="auto"/>
        </w:rPr>
      </w:pPr>
      <w:r>
        <w:rPr>
          <w:rFonts w:ascii="Arial" w:cs="Arial" w:eastAsia="Arial" w:hAnsi="Arial"/>
          <w:sz w:val="18"/>
          <w:szCs w:val="18"/>
          <w:color w:val="auto"/>
        </w:rPr>
        <w:t>General and administrative expenses were $9.0 million for the three months ended September 30, 2023 and $8.1 million for three months ended September 30, 2022. The increase is due to an increase in stock based compensation and recruiting fees.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95"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In-process research and development expenses were $4.0 million for the three months ended September 30, 2023. This was a result of entering into a worldwide license agreement whereby FCDI will grant non-exclusive licenses to the Company for certain patent rights and know-how related to cell differentiation and reprogramming for the development and commercialization of iPSC-derived therapies for treatment of inflammatory and autoimmune diseases.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1"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Interest expense was $0.0 million and $0.4 million for the three months ended September 30, 2023 and 2022, respectively, which related to our Loan Agreement with Hercules. On May 1, 2023, we repaid the loan in its entirety and thus expect our interest expenses to decrease accordingly in subsequent periods.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5" w:lineRule="exact"/>
        <w:rPr>
          <w:sz w:val="20"/>
          <w:szCs w:val="20"/>
          <w:color w:val="auto"/>
        </w:rPr>
      </w:pPr>
    </w:p>
    <w:p>
      <w:pPr>
        <w:ind w:left="60" w:right="359"/>
        <w:spacing w:after="0" w:line="243" w:lineRule="auto"/>
        <w:rPr>
          <w:sz w:val="20"/>
          <w:szCs w:val="20"/>
          <w:color w:val="auto"/>
        </w:rPr>
      </w:pPr>
      <w:r>
        <w:rPr>
          <w:rFonts w:ascii="Arial" w:cs="Arial" w:eastAsia="Arial" w:hAnsi="Arial"/>
          <w:sz w:val="18"/>
          <w:szCs w:val="18"/>
          <w:color w:val="auto"/>
        </w:rPr>
        <w:t>Interest income was $3.5 million and $1.4 million for the three months ended September 30, 2023 and 2022, respectively, which related to interest earned on our cash, cash equivalents, and investment balances. The increase in our interest income was due to higher interest rates earned on average balances of cash,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nine months ended September 30, 2023 and 2022</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0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Nine Months Ended</w:t>
            </w: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Nine Months Ended</w:t>
            </w: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r>
      <w:tr>
        <w:trPr>
          <w:trHeight w:val="167"/>
        </w:trPr>
        <w:tc>
          <w:tcPr>
            <w:tcW w:w="50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September 30, 2023</w:t>
            </w:r>
          </w:p>
        </w:tc>
        <w:tc>
          <w:tcPr>
            <w:tcW w:w="8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color w:val="auto"/>
              </w:rPr>
              <w:t>September 30, 2022</w:t>
            </w:r>
          </w:p>
        </w:tc>
        <w:tc>
          <w:tcPr>
            <w:tcW w:w="1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Change</w:t>
            </w:r>
          </w:p>
        </w:tc>
      </w:tr>
      <w:tr>
        <w:trPr>
          <w:trHeight w:val="142"/>
        </w:trPr>
        <w:tc>
          <w:tcPr>
            <w:tcW w:w="50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1,967</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(2,711)</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70,414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71,588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(1,174)</w:t>
            </w: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26,117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23,615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2,502</w:t>
            </w:r>
          </w:p>
        </w:tc>
        <w:tc>
          <w:tcPr>
            <w:tcW w:w="20" w:type="dxa"/>
            <w:vAlign w:val="bottom"/>
          </w:tcPr>
          <w:p>
            <w:pPr>
              <w:spacing w:after="0"/>
              <w:rPr>
                <w:sz w:val="17"/>
                <w:szCs w:val="17"/>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In-process research and development asset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(6,000)</w:t>
            </w: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8"/>
                <w:szCs w:val="18"/>
                <w:color w:val="auto"/>
              </w:rPr>
              <w:t>Impairment of long-lived assets</w:t>
            </w: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4,220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4,220</w:t>
            </w:r>
          </w:p>
        </w:tc>
        <w:tc>
          <w:tcPr>
            <w:tcW w:w="20" w:type="dxa"/>
            <w:vAlign w:val="bottom"/>
          </w:tcPr>
          <w:p>
            <w:pPr>
              <w:spacing w:after="0"/>
              <w:rPr>
                <w:sz w:val="17"/>
                <w:szCs w:val="17"/>
                <w:color w:val="auto"/>
              </w:rPr>
            </w:pPr>
          </w:p>
        </w:tc>
      </w:tr>
      <w:tr>
        <w:trPr>
          <w:trHeight w:val="196"/>
        </w:trPr>
        <w:tc>
          <w:tcPr>
            <w:tcW w:w="504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104,751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105,203</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(452)</w:t>
            </w:r>
          </w:p>
        </w:tc>
        <w:tc>
          <w:tcPr>
            <w:tcW w:w="20" w:type="dxa"/>
            <w:vAlign w:val="bottom"/>
            <w:tcBorders>
              <w:top w:val="single" w:sz="8" w:color="CCEEFF"/>
            </w:tcBorders>
            <w:shd w:val="clear" w:color="auto" w:fill="CCEEFF"/>
          </w:tcPr>
          <w:p>
            <w:pPr>
              <w:spacing w:after="0"/>
              <w:rPr>
                <w:sz w:val="17"/>
                <w:szCs w:val="17"/>
                <w:color w:val="auto"/>
              </w:rPr>
            </w:pPr>
          </w:p>
        </w:tc>
      </w:tr>
      <w:tr>
        <w:trPr>
          <w:trHeight w:val="196"/>
        </w:trPr>
        <w:tc>
          <w:tcPr>
            <w:tcW w:w="504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(102,784)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(100,525)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(2,259)</w:t>
            </w:r>
          </w:p>
        </w:tc>
        <w:tc>
          <w:tcPr>
            <w:tcW w:w="20" w:type="dxa"/>
            <w:vAlign w:val="bottom"/>
            <w:tcBorders>
              <w:bottom w:val="single" w:sz="8" w:color="CCEEFF"/>
            </w:tcBorders>
          </w:tcPr>
          <w:p>
            <w:pPr>
              <w:spacing w:after="0"/>
              <w:rPr>
                <w:sz w:val="17"/>
                <w:szCs w:val="17"/>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(1,017)</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c>
          <w:tcPr>
            <w:tcW w:w="20" w:type="dxa"/>
            <w:vAlign w:val="bottom"/>
          </w:tcPr>
          <w:p>
            <w:pPr>
              <w:spacing w:after="0"/>
              <w:rPr>
                <w:sz w:val="17"/>
                <w:szCs w:val="17"/>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9,167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6,797</w:t>
            </w:r>
          </w:p>
        </w:tc>
        <w:tc>
          <w:tcPr>
            <w:tcW w:w="20" w:type="dxa"/>
            <w:vAlign w:val="bottom"/>
            <w:shd w:val="clear" w:color="auto" w:fill="CCEEFF"/>
          </w:tcPr>
          <w:p>
            <w:pPr>
              <w:spacing w:after="0"/>
              <w:rPr>
                <w:sz w:val="17"/>
                <w:szCs w:val="17"/>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(349)</w:t>
            </w:r>
          </w:p>
        </w:tc>
      </w:tr>
      <w:tr>
        <w:trPr>
          <w:trHeight w:val="196"/>
        </w:trPr>
        <w:tc>
          <w:tcPr>
            <w:tcW w:w="504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8,259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1,334</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6,925</w:t>
            </w:r>
          </w:p>
        </w:tc>
        <w:tc>
          <w:tcPr>
            <w:tcW w:w="20" w:type="dxa"/>
            <w:vAlign w:val="bottom"/>
            <w:tcBorders>
              <w:top w:val="single" w:sz="8" w:color="CCEEFF"/>
            </w:tcBorders>
            <w:shd w:val="clear" w:color="auto" w:fill="CCEEFF"/>
          </w:tcPr>
          <w:p>
            <w:pPr>
              <w:spacing w:after="0"/>
              <w:rPr>
                <w:sz w:val="17"/>
                <w:szCs w:val="17"/>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3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(94,525)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(99,191)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4,666</w:t>
            </w:r>
          </w:p>
        </w:tc>
        <w:tc>
          <w:tcPr>
            <w:tcW w:w="20" w:type="dxa"/>
            <w:vAlign w:val="bottom"/>
          </w:tcPr>
          <w:p>
            <w:pPr>
              <w:spacing w:after="0"/>
              <w:rPr>
                <w:sz w:val="17"/>
                <w:szCs w:val="17"/>
                <w:color w:val="auto"/>
              </w:rPr>
            </w:pPr>
          </w:p>
        </w:tc>
      </w:tr>
      <w:tr>
        <w:trPr>
          <w:trHeight w:val="203"/>
        </w:trPr>
        <w:tc>
          <w:tcPr>
            <w:tcW w:w="50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(2,750)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(2,691)</w:t>
            </w: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(97,275)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(99,250)</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1,975</w:t>
            </w:r>
          </w:p>
        </w:tc>
        <w:tc>
          <w:tcPr>
            <w:tcW w:w="2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1"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During the nine months ended September 30, 2023 and 2022, we recognized revenue of $2.0 and $4.7 million under our collaboration agreement with Bristol-Myers Squibb, respectively. Revenue recognized under the collaboration agreement fluctuates based on the amount and timing of expenses incurred under the agreement.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5" w:lineRule="exact"/>
        <w:rPr>
          <w:sz w:val="20"/>
          <w:szCs w:val="20"/>
          <w:color w:val="auto"/>
        </w:rPr>
      </w:pPr>
    </w:p>
    <w:p>
      <w:pPr>
        <w:ind w:left="60" w:right="399"/>
        <w:spacing w:after="0" w:line="260"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Nine Months Ended</w:t>
            </w: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Nine Months Ended</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r>
        <w:trPr>
          <w:trHeight w:val="167"/>
        </w:trPr>
        <w:tc>
          <w:tcPr>
            <w:tcW w:w="512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September 30, 2023</w:t>
            </w:r>
          </w:p>
        </w:tc>
        <w:tc>
          <w:tcPr>
            <w:tcW w:w="2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color w:val="auto"/>
              </w:rPr>
              <w:t>September 30, 2022</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5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32,526</w:t>
            </w:r>
          </w:p>
        </w:tc>
        <w:tc>
          <w:tcPr>
            <w:tcW w:w="62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31,842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Facility and other allocated costs</w:t>
            </w: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18,587</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11,170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7,417</w:t>
            </w: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laboratory</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17,267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(3,074)</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Collaborations</w:t>
            </w: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5,343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(5,089)</w:t>
            </w: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Consulting</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(1,275)</w:t>
            </w:r>
          </w:p>
        </w:tc>
      </w:tr>
      <w:tr>
        <w:trPr>
          <w:trHeight w:val="203"/>
        </w:trPr>
        <w:tc>
          <w:tcPr>
            <w:tcW w:w="51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816</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w:t>
            </w:r>
          </w:p>
        </w:tc>
      </w:tr>
      <w:tr>
        <w:trPr>
          <w:trHeight w:val="196"/>
        </w:trPr>
        <w:tc>
          <w:tcPr>
            <w:tcW w:w="51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70,414</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4"/>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71,588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(1,174)</w:t>
            </w:r>
          </w:p>
        </w:tc>
      </w:tr>
      <w:tr>
        <w:trPr>
          <w:trHeight w:val="20"/>
        </w:trPr>
        <w:tc>
          <w:tcPr>
            <w:tcW w:w="5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and development expenses were $70.4 million and $71.6 million for the nine months ended</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and 2022, respectively. The decrease of $1.2 million was primarily due to:</w:t>
      </w:r>
    </w:p>
    <w:p>
      <w:pPr>
        <w:spacing w:after="0" w:line="159" w:lineRule="exact"/>
        <w:rPr>
          <w:sz w:val="20"/>
          <w:szCs w:val="20"/>
          <w:color w:val="auto"/>
        </w:rPr>
      </w:pPr>
    </w:p>
    <w:p>
      <w:pPr>
        <w:ind w:left="380" w:right="79" w:hanging="330"/>
        <w:spacing w:after="0" w:line="24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$5.1 million related to our collaboration with FCDI. The decline was due to in process development work being completed in 2022 as the scope of work with FCDI has narrowed down to primarily manufacturing CNTY-101 clinical supply for us.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79" w:hanging="330"/>
        <w:spacing w:after="0" w:line="24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research and laboratory costs of $3.1 million due to our 2023 reorganization and reprioritization of early stage programs and discovery platforms as well as a decline in sponsored research activities.</w:t>
      </w:r>
    </w:p>
    <w:p>
      <w:pPr>
        <w:spacing w:after="0" w:line="157" w:lineRule="exact"/>
        <w:rPr>
          <w:rFonts w:ascii="Arial" w:cs="Arial" w:eastAsia="Arial" w:hAnsi="Arial"/>
          <w:sz w:val="18"/>
          <w:szCs w:val="18"/>
          <w:color w:val="auto"/>
        </w:rPr>
      </w:pPr>
    </w:p>
    <w:p>
      <w:pPr>
        <w:ind w:left="380" w:right="279" w:hanging="330"/>
        <w:spacing w:after="0" w:line="26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consulting of $1.3 million which was primarily due to reliance reduction on consultants year over year.</w:t>
      </w:r>
    </w:p>
    <w:p>
      <w:pPr>
        <w:spacing w:after="0" w:line="132" w:lineRule="exact"/>
        <w:rPr>
          <w:rFonts w:ascii="Arial" w:cs="Arial" w:eastAsia="Arial" w:hAnsi="Arial"/>
          <w:sz w:val="18"/>
          <w:szCs w:val="18"/>
          <w:color w:val="auto"/>
        </w:rPr>
      </w:pPr>
    </w:p>
    <w:p>
      <w:pPr>
        <w:ind w:left="380" w:right="119" w:hanging="330"/>
        <w:spacing w:after="0" w:line="243"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decreases were offset by an increase of $7.4 million of facility and other allocated costs, including an increase in depreciation expense of $3.9 million, an increase of rent of $1.4 million and an increase of facility services and supplies of $2.1 million as a result of an expansion of our geographic footprint for office and lab space;</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General and administrative expenses were $26.1 million for the nine months ended September 30, 2023 and</w:t>
      </w:r>
    </w:p>
    <w:p>
      <w:pPr>
        <w:spacing w:after="0" w:line="8"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$23.6 million for nine months ended September 30, 2022. The increase of $2.5 million was primarily due to one-time charges associated with the reduction in force in the first quarter of 2023.</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81"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In-process research and development expenses were $4.0 million for the nine months ended September 30, 2023. This was a result of entering into a worldwide license agreement whereby FCDI will grant non-exclusive licenses to the Company for certain patent rights and know-how related to cell differentiation and reprogramming for the development and commercialization of iPSC-derived therapies for treatment of inflammatory and autoimmune diseases. In-process research and development expenses were $10.0 million for the nine months ended September 30, 2022.</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1"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Interest expense was $0.5 million and $1.0 million for the nine months ended September 30, 2023 and 2022, respectively, which related to our Loan Agreement with Hercules. On May 1, 2023, we repaid the loan in its entirety and thus expect our interest expenses to decrease accordingly in subsequent periods.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5" w:lineRule="exact"/>
        <w:rPr>
          <w:sz w:val="20"/>
          <w:szCs w:val="20"/>
          <w:color w:val="auto"/>
        </w:rPr>
      </w:pPr>
    </w:p>
    <w:p>
      <w:pPr>
        <w:jc w:val="both"/>
        <w:ind w:left="60" w:right="419"/>
        <w:spacing w:after="0" w:line="243" w:lineRule="auto"/>
        <w:rPr>
          <w:sz w:val="20"/>
          <w:szCs w:val="20"/>
          <w:color w:val="auto"/>
        </w:rPr>
      </w:pPr>
      <w:r>
        <w:rPr>
          <w:rFonts w:ascii="Arial" w:cs="Arial" w:eastAsia="Arial" w:hAnsi="Arial"/>
          <w:sz w:val="18"/>
          <w:szCs w:val="18"/>
          <w:color w:val="auto"/>
        </w:rPr>
        <w:t>Interest income was $9.2 million and $2.4 million for the nine months ended September 30, 2023 and 2022, respectively, which related to interest earned on our cash, cash equivalents, and investment balances. The increase in our interest income was due to higher interest rates earned on average balances of cash, cash equivalents and investments.</w:t>
      </w:r>
    </w:p>
    <w:p>
      <w:pPr>
        <w:spacing w:after="0" w:line="137" w:lineRule="exact"/>
        <w:rPr>
          <w:sz w:val="20"/>
          <w:szCs w:val="20"/>
          <w:color w:val="auto"/>
        </w:rPr>
      </w:pPr>
    </w:p>
    <w:p>
      <w:pPr>
        <w:ind w:left="60" w:right="4419"/>
        <w:spacing w:after="0" w:line="451"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spacing w:after="0" w:line="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To date, we have funded our operations from the issuance and sale of our equity securities, debt financing and collaboration revenues. Since our inception, we have raised approximately $591 million in net proceeds from the sales of our equity securities. As of September 30, 2023, we had cash, and cash equivalents of $ 55.3 million and investments of $229.0 million. Based on our research and development plans, we believe our existing cash, cash equivalents and investments, will be sufficient to fund our operating expenses and capital expenditures requirements into 2026. Since our inception, we have incurred significant operating losses. We have not yet commercialized any products and we do not expect to generate revenue from sales of any product candidates for a number of years, if ever. We had an accumulated deficit of $616.4 million as of September 30, 2023.</w:t>
      </w:r>
    </w:p>
    <w:p>
      <w:pPr>
        <w:spacing w:after="0" w:line="151" w:lineRule="exact"/>
        <w:rPr>
          <w:sz w:val="20"/>
          <w:szCs w:val="20"/>
          <w:color w:val="auto"/>
        </w:rPr>
      </w:pPr>
    </w:p>
    <w:p>
      <w:pPr>
        <w:ind w:left="60" w:right="219"/>
        <w:spacing w:after="0" w:line="260" w:lineRule="auto"/>
        <w:rPr>
          <w:sz w:val="20"/>
          <w:szCs w:val="20"/>
          <w:color w:val="auto"/>
        </w:rPr>
      </w:pPr>
      <w:r>
        <w:rPr>
          <w:rFonts w:ascii="Arial" w:cs="Arial" w:eastAsia="Arial" w:hAnsi="Arial"/>
          <w:sz w:val="18"/>
          <w:szCs w:val="18"/>
          <w:color w:val="auto"/>
        </w:rPr>
        <w:t>In July 2022, we entered into a Sales Agreement, or the Sales Agreement, with Cowen and Company, LLC, or Cowen, under which we may offer and sell, from time to time in our sole discretion, shares of our common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0" w:lineRule="auto"/>
        <w:rPr>
          <w:sz w:val="20"/>
          <w:szCs w:val="20"/>
          <w:color w:val="auto"/>
        </w:rPr>
      </w:pPr>
      <w:r>
        <w:rPr>
          <w:rFonts w:ascii="Arial" w:cs="Arial" w:eastAsia="Arial" w:hAnsi="Arial"/>
          <w:sz w:val="18"/>
          <w:szCs w:val="18"/>
          <w:color w:val="auto"/>
        </w:rPr>
        <w:t>stock, having an aggregate offering price of up to $150 million through Cowen as sales agent. No sales have been made under the Sales Agreement since its inception.</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81"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380" w:right="319" w:hanging="330"/>
        <w:spacing w:after="0" w:line="26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32"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198"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84" w:lineRule="exact"/>
        <w:rPr>
          <w:rFonts w:ascii="Arial" w:cs="Arial" w:eastAsia="Arial" w:hAnsi="Arial"/>
          <w:sz w:val="18"/>
          <w:szCs w:val="18"/>
          <w:color w:val="auto"/>
        </w:rPr>
      </w:pPr>
    </w:p>
    <w:p>
      <w:pPr>
        <w:ind w:left="380" w:right="299" w:hanging="330"/>
        <w:spacing w:after="0" w:line="26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32" w:lineRule="exact"/>
        <w:rPr>
          <w:rFonts w:ascii="Arial" w:cs="Arial" w:eastAsia="Arial" w:hAnsi="Arial"/>
          <w:sz w:val="18"/>
          <w:szCs w:val="18"/>
          <w:color w:val="auto"/>
        </w:rPr>
      </w:pPr>
    </w:p>
    <w:p>
      <w:pPr>
        <w:ind w:left="380" w:right="219" w:hanging="330"/>
        <w:spacing w:after="0" w:line="243"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60" w:lineRule="exact"/>
        <w:rPr>
          <w:rFonts w:ascii="Arial" w:cs="Arial" w:eastAsia="Arial" w:hAnsi="Arial"/>
          <w:sz w:val="18"/>
          <w:szCs w:val="18"/>
          <w:color w:val="auto"/>
        </w:rPr>
      </w:pPr>
    </w:p>
    <w:p>
      <w:pPr>
        <w:ind w:left="380" w:right="139" w:hanging="330"/>
        <w:spacing w:after="0" w:line="24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43" w:lineRule="exact"/>
        <w:rPr>
          <w:rFonts w:ascii="Arial" w:cs="Arial" w:eastAsia="Arial" w:hAnsi="Arial"/>
          <w:sz w:val="18"/>
          <w:szCs w:val="18"/>
          <w:color w:val="auto"/>
        </w:rPr>
      </w:pPr>
    </w:p>
    <w:p>
      <w:pPr>
        <w:ind w:left="380" w:right="779" w:hanging="330"/>
        <w:spacing w:after="0" w:line="26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2"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198" w:lineRule="exact"/>
        <w:rPr>
          <w:rFonts w:ascii="Arial" w:cs="Arial" w:eastAsia="Arial" w:hAnsi="Arial"/>
          <w:sz w:val="18"/>
          <w:szCs w:val="18"/>
          <w:color w:val="auto"/>
        </w:rPr>
      </w:pPr>
    </w:p>
    <w:p>
      <w:pPr>
        <w:ind w:left="380" w:right="779" w:hanging="330"/>
        <w:spacing w:after="0" w:line="26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32"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9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effects of the COVID-19 pandemic,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79" w:lineRule="exact"/>
        <w:rPr>
          <w:sz w:val="20"/>
          <w:szCs w:val="20"/>
          <w:color w:val="auto"/>
        </w:rPr>
      </w:pPr>
    </w:p>
    <w:tbl>
      <w:tblPr>
        <w:tblLayout w:type="fixed"/>
        <w:tblInd w:w="4480" w:type="dxa"/>
        <w:tblCellMar>
          <w:top w:w="0" w:type="dxa"/>
          <w:left w:w="0" w:type="dxa"/>
          <w:bottom w:w="0" w:type="dxa"/>
          <w:right w:w="0" w:type="dxa"/>
        </w:tblCellMar>
      </w:tblPr>
      <w:tr>
        <w:trPr>
          <w:trHeight w:val="162"/>
        </w:trPr>
        <w:tc>
          <w:tcPr>
            <w:tcW w:w="1420" w:type="dxa"/>
            <w:vAlign w:val="bottom"/>
          </w:tcPr>
          <w:p>
            <w:pPr>
              <w:jc w:val="center"/>
              <w:ind w:right="48"/>
              <w:spacing w:after="0"/>
              <w:rPr>
                <w:sz w:val="20"/>
                <w:szCs w:val="20"/>
                <w:color w:val="auto"/>
              </w:rPr>
            </w:pPr>
            <w:r>
              <w:rPr>
                <w:rFonts w:ascii="Arial" w:cs="Arial" w:eastAsia="Arial" w:hAnsi="Arial"/>
                <w:sz w:val="14"/>
                <w:szCs w:val="14"/>
                <w:color w:val="auto"/>
              </w:rPr>
              <w:t>Nine months ended</w:t>
            </w:r>
          </w:p>
        </w:tc>
        <w:tc>
          <w:tcPr>
            <w:tcW w:w="1680" w:type="dxa"/>
            <w:vAlign w:val="bottom"/>
          </w:tcPr>
          <w:p>
            <w:pPr>
              <w:jc w:val="center"/>
              <w:ind w:right="108"/>
              <w:spacing w:after="0"/>
              <w:rPr>
                <w:sz w:val="20"/>
                <w:szCs w:val="20"/>
                <w:color w:val="auto"/>
              </w:rPr>
            </w:pPr>
            <w:r>
              <w:rPr>
                <w:rFonts w:ascii="Arial" w:cs="Arial" w:eastAsia="Arial" w:hAnsi="Arial"/>
                <w:sz w:val="14"/>
                <w:szCs w:val="14"/>
                <w:color w:val="auto"/>
              </w:rPr>
              <w:t>Nine months ended</w:t>
            </w:r>
          </w:p>
        </w:tc>
        <w:tc>
          <w:tcPr>
            <w:tcW w:w="1120" w:type="dxa"/>
            <w:vAlign w:val="bottom"/>
          </w:tcPr>
          <w:p>
            <w:pPr>
              <w:spacing w:after="0"/>
              <w:rPr>
                <w:sz w:val="14"/>
                <w:szCs w:val="14"/>
                <w:color w:val="auto"/>
              </w:rPr>
            </w:pPr>
          </w:p>
        </w:tc>
      </w:tr>
      <w:tr>
        <w:trPr>
          <w:trHeight w:val="167"/>
        </w:trPr>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September 30, 2023</w:t>
            </w: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September 30, 2022</w:t>
            </w: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Change</w:t>
            </w:r>
          </w:p>
        </w:tc>
      </w:tr>
    </w:tbl>
    <w:p>
      <w:pPr>
        <w:spacing w:after="0" w:line="149" w:lineRule="exact"/>
        <w:rPr>
          <w:sz w:val="20"/>
          <w:szCs w:val="20"/>
          <w:color w:val="auto"/>
        </w:rPr>
      </w:pPr>
    </w:p>
    <w:p>
      <w:pPr>
        <w:sectPr>
          <w:pgSz w:w="11900" w:h="16838" w:orient="portrait"/>
          <w:cols w:equalWidth="0" w:num="1">
            <w:col w:w="9019"/>
          </w:cols>
          <w:pgMar w:left="1440" w:top="518" w:right="1440" w:bottom="1440" w:gutter="0" w:footer="0" w:header="0"/>
        </w:sectPr>
      </w:pPr>
    </w:p>
    <w:p>
      <w:pPr>
        <w:ind w:left="60"/>
        <w:spacing w:after="0"/>
        <w:rPr>
          <w:sz w:val="20"/>
          <w:szCs w:val="20"/>
          <w:color w:val="auto"/>
        </w:rPr>
      </w:pPr>
      <w:r>
        <w:rPr>
          <w:rFonts w:ascii="Arial" w:cs="Arial" w:eastAsia="Arial" w:hAnsi="Arial"/>
          <w:sz w:val="18"/>
          <w:szCs w:val="18"/>
          <w:color w:val="auto"/>
        </w:rPr>
        <w:t>Net cash (used in) provided by:</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activities</w:t>
      </w:r>
    </w:p>
    <w:p>
      <w:pPr>
        <w:ind w:left="60"/>
        <w:spacing w:after="0" w:line="234" w:lineRule="auto"/>
        <w:rPr>
          <w:sz w:val="20"/>
          <w:szCs w:val="20"/>
          <w:color w:val="auto"/>
        </w:rPr>
      </w:pPr>
      <w:r>
        <w:rPr>
          <w:rFonts w:ascii="Arial" w:cs="Arial" w:eastAsia="Arial" w:hAnsi="Arial"/>
          <w:sz w:val="18"/>
          <w:szCs w:val="18"/>
          <w:color w:val="auto"/>
        </w:rPr>
        <w:t>Investing activities</w:t>
      </w:r>
    </w:p>
    <w:p>
      <w:pPr>
        <w:ind w:left="60"/>
        <w:spacing w:after="0" w:line="235" w:lineRule="auto"/>
        <w:rPr>
          <w:sz w:val="20"/>
          <w:szCs w:val="20"/>
          <w:color w:val="auto"/>
        </w:rPr>
      </w:pPr>
      <w:r>
        <w:rPr>
          <w:rFonts w:ascii="Arial" w:cs="Arial" w:eastAsia="Arial" w:hAnsi="Arial"/>
          <w:sz w:val="18"/>
          <w:szCs w:val="18"/>
          <w:color w:val="auto"/>
        </w:rPr>
        <w:t>Financing activities</w:t>
      </w:r>
    </w:p>
    <w:p>
      <w:pPr>
        <w:spacing w:after="0" w:line="1" w:lineRule="exact"/>
        <w:rPr>
          <w:sz w:val="20"/>
          <w:szCs w:val="20"/>
          <w:color w:val="auto"/>
        </w:rPr>
      </w:pPr>
    </w:p>
    <w:p>
      <w:pPr>
        <w:ind w:left="60"/>
        <w:spacing w:after="0" w:line="246" w:lineRule="auto"/>
        <w:rPr>
          <w:sz w:val="20"/>
          <w:szCs w:val="20"/>
          <w:color w:val="auto"/>
        </w:rPr>
      </w:pPr>
      <w:r>
        <w:rPr>
          <w:rFonts w:ascii="Arial" w:cs="Arial" w:eastAsia="Arial" w:hAnsi="Arial"/>
          <w:sz w:val="18"/>
          <w:szCs w:val="18"/>
          <w:color w:val="auto"/>
        </w:rPr>
        <w:t>Net increase in cash, cash equivalents, and restricted cash</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(62,118)</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36,959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(99,077)</w:t>
            </w:r>
          </w:p>
        </w:tc>
      </w:tr>
      <w:tr>
        <w:trPr>
          <w:trHeight w:val="203"/>
        </w:trPr>
        <w:tc>
          <w:tcPr>
            <w:tcW w:w="36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42,529</w:t>
            </w:r>
          </w:p>
        </w:tc>
        <w:tc>
          <w:tcPr>
            <w:tcW w:w="5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(8,855)</w:t>
            </w: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51,384</w:t>
            </w:r>
          </w:p>
        </w:tc>
      </w:tr>
      <w:tr>
        <w:trPr>
          <w:trHeight w:val="215"/>
        </w:trPr>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(9,369)</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27,063</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(36,432)</w:t>
            </w:r>
          </w:p>
        </w:tc>
      </w:tr>
      <w:tr>
        <w:trPr>
          <w:trHeight w:val="385"/>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(28,958)</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55,167</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-2813050</wp:posOffset>
            </wp:positionH>
            <wp:positionV relativeFrom="paragraph">
              <wp:posOffset>-779145</wp:posOffset>
            </wp:positionV>
            <wp:extent cx="564896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-2813050</wp:posOffset>
            </wp:positionH>
            <wp:positionV relativeFrom="paragraph">
              <wp:posOffset>-521970</wp:posOffset>
            </wp:positionV>
            <wp:extent cx="564896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-2813050</wp:posOffset>
            </wp:positionH>
            <wp:positionV relativeFrom="paragraph">
              <wp:posOffset>-264795</wp:posOffset>
            </wp:positionV>
            <wp:extent cx="5648960" cy="257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567" w:lineRule="exact"/>
        <w:rPr>
          <w:sz w:val="20"/>
          <w:szCs w:val="20"/>
          <w:color w:val="auto"/>
        </w:rPr>
      </w:pPr>
    </w:p>
    <w:p>
      <w:pPr>
        <w:sectPr>
          <w:pgSz w:w="11900" w:h="16838" w:orient="portrait"/>
          <w:cols w:equalWidth="0" w:num="2">
            <w:col w:w="4320" w:space="160"/>
            <w:col w:w="4539"/>
          </w:cols>
          <w:pgMar w:left="1440" w:top="518" w:right="1440" w:bottom="1440" w:gutter="0" w:footer="0" w:header="0"/>
          <w:type w:val="continuous"/>
        </w:sectPr>
      </w:pPr>
    </w:p>
    <w:p>
      <w:pPr>
        <w:ind w:left="60" w:right="79"/>
        <w:spacing w:after="0" w:line="239" w:lineRule="auto"/>
        <w:rPr>
          <w:sz w:val="20"/>
          <w:szCs w:val="20"/>
          <w:color w:val="auto"/>
        </w:rPr>
      </w:pPr>
      <w:r>
        <w:rPr>
          <w:rFonts w:ascii="Arial" w:cs="Arial" w:eastAsia="Arial" w:hAnsi="Arial"/>
          <w:sz w:val="18"/>
          <w:szCs w:val="18"/>
          <w:color w:val="auto"/>
        </w:rPr>
        <w:t>Net cash (used in) provided by operating activities was ($62.1) million and $37.0 million for the nine months ended September 30, 2023 and 2022, respectively. Net cash (used in) operating activities during the nine months ended September 30, 2023 consisted primarily of our net loss of $97.3 million. The non-cash charges of $22.9 million consisted primarily of $9.5 million for depreciation expense, non-cash stock-based compensation expense of $ 11.1 million, and impairment of $4.2 million. Changes in operating lease liability, net were primarily driven by the receipt of $11.7 million of tenant reimbursement.</w:t>
      </w:r>
    </w:p>
    <w:p>
      <w:pPr>
        <w:spacing w:after="0" w:line="37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Net cash provided by operating activities during the nine months ended September 30, 2022 consisted primarily of our deferred revenue of $118.5 million from our collaboration agreement with Bristol-Myers Squibb, and non-cash charges of $14.8 million. The non-cash charges of $14.8 million consisted primarily of $5.6 million for depreciation expense, non-cash stock-based compensation expense of $7.9 million, and non-cash operating lease expense of $1.1 million. The increase was partially offset by our net loss of $99.3 million and net cash outflows from decreases in our accounts payable of $3.2 million.</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177" w:lineRule="exact"/>
        <w:rPr>
          <w:sz w:val="20"/>
          <w:szCs w:val="20"/>
          <w:color w:val="auto"/>
        </w:rPr>
      </w:pPr>
    </w:p>
    <w:p>
      <w:pPr>
        <w:ind w:left="60" w:right="359"/>
        <w:spacing w:after="0" w:line="241" w:lineRule="auto"/>
        <w:rPr>
          <w:sz w:val="20"/>
          <w:szCs w:val="20"/>
          <w:color w:val="auto"/>
        </w:rPr>
      </w:pPr>
      <w:r>
        <w:rPr>
          <w:rFonts w:ascii="Arial" w:cs="Arial" w:eastAsia="Arial" w:hAnsi="Arial"/>
          <w:sz w:val="18"/>
          <w:szCs w:val="18"/>
          <w:color w:val="auto"/>
        </w:rPr>
        <w:t>Net cash provided by (used in) investing activities was $42.5 million and ($8.9) million for the nine months ended September 30, 2023 and 2022, respectively. Cash provided by investing activities for the nine months ended September 30, 2023 consisted primarily of the sale of fixed maturity securities, available for sale of $254.6 million, which was partially offset by purchases of fixed maturity securities of $199.3 million and acquisition of property and equipment of $12.8 million.</w:t>
      </w:r>
    </w:p>
    <w:p>
      <w:pPr>
        <w:spacing w:after="0" w:line="162"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Cash used in investing activities was $8.9 for the nine months ended September 30, 2022 consisted primarily of purchases of property and equipment of $24.3 million, partially offset by the net sale of fixed maturity securities of $15.5 million.</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50" w:lineRule="exact"/>
        <w:rPr>
          <w:sz w:val="20"/>
          <w:szCs w:val="20"/>
          <w:color w:val="auto"/>
        </w:rPr>
      </w:pPr>
    </w:p>
    <w:p>
      <w:pPr>
        <w:ind w:left="60" w:right="559"/>
        <w:spacing w:after="0" w:line="289" w:lineRule="auto"/>
        <w:rPr>
          <w:sz w:val="20"/>
          <w:szCs w:val="20"/>
          <w:color w:val="auto"/>
        </w:rPr>
      </w:pPr>
      <w:r>
        <w:rPr>
          <w:rFonts w:ascii="Arial" w:cs="Arial" w:eastAsia="Arial" w:hAnsi="Arial"/>
          <w:sz w:val="17"/>
          <w:szCs w:val="17"/>
          <w:color w:val="auto"/>
        </w:rPr>
        <w:t>Net cash (used in) provided by financing activities was ($9.4) million and $27.1 million for the nine months ended September 30, 2023 and 2022, respectively. Cash used in financing activities consisted of $10.2</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60" w:lineRule="auto"/>
        <w:rPr>
          <w:sz w:val="20"/>
          <w:szCs w:val="20"/>
          <w:color w:val="auto"/>
        </w:rPr>
      </w:pPr>
      <w:r>
        <w:rPr>
          <w:rFonts w:ascii="Arial" w:cs="Arial" w:eastAsia="Arial" w:hAnsi="Arial"/>
          <w:sz w:val="18"/>
          <w:szCs w:val="18"/>
          <w:color w:val="auto"/>
        </w:rPr>
        <w:t>million for payments on long term debt and offset by $0.9 million from issuance of our common stock from equity incentive plans pursuant to the exercise of employee stock options.</w:t>
      </w:r>
    </w:p>
    <w:p>
      <w:pPr>
        <w:spacing w:after="0" w:line="105" w:lineRule="exact"/>
        <w:rPr>
          <w:sz w:val="20"/>
          <w:szCs w:val="20"/>
          <w:color w:val="auto"/>
        </w:rPr>
      </w:pPr>
    </w:p>
    <w:p>
      <w:pPr>
        <w:jc w:val="both"/>
        <w:ind w:left="60" w:right="459"/>
        <w:spacing w:after="0" w:line="243" w:lineRule="auto"/>
        <w:rPr>
          <w:sz w:val="20"/>
          <w:szCs w:val="20"/>
          <w:color w:val="auto"/>
        </w:rPr>
      </w:pPr>
      <w:r>
        <w:rPr>
          <w:rFonts w:ascii="Arial" w:cs="Arial" w:eastAsia="Arial" w:hAnsi="Arial"/>
          <w:sz w:val="18"/>
          <w:szCs w:val="18"/>
          <w:color w:val="auto"/>
        </w:rPr>
        <w:t>Net cash provided by financing activities was $27.1 million for the nine months ended September 30, 2022. Cash provided by financing activities consisted primarily of net proceeds of $26.8 million from Bristol-Myers Squibb for the purchase of our common stock, and cash of $0.3 million from issuance of our common stock from equity incentive plans pursuant to the exercise of employee stock options.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1" w:lineRule="exact"/>
        <w:rPr>
          <w:sz w:val="20"/>
          <w:szCs w:val="20"/>
          <w:color w:val="auto"/>
        </w:rPr>
      </w:pPr>
    </w:p>
    <w:p>
      <w:pPr>
        <w:ind w:left="60" w:right="299"/>
        <w:spacing w:after="0" w:line="260" w:lineRule="auto"/>
        <w:rPr>
          <w:sz w:val="20"/>
          <w:szCs w:val="20"/>
          <w:color w:val="auto"/>
        </w:rPr>
      </w:pPr>
      <w:r>
        <w:rPr>
          <w:rFonts w:ascii="Arial" w:cs="Arial" w:eastAsia="Arial" w:hAnsi="Arial"/>
          <w:sz w:val="18"/>
          <w:szCs w:val="18"/>
          <w:color w:val="auto"/>
        </w:rPr>
        <w:t>The following table summarizes our significant contractual obligations and commitments as of September 30, 2023:</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88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Payments Due by Period</w:t>
            </w:r>
          </w:p>
        </w:tc>
      </w:tr>
      <w:tr>
        <w:trPr>
          <w:trHeight w:val="156"/>
        </w:trPr>
        <w:tc>
          <w:tcPr>
            <w:tcW w:w="3880" w:type="dxa"/>
            <w:vAlign w:val="bottom"/>
          </w:tcPr>
          <w:p>
            <w:pPr>
              <w:spacing w:after="0"/>
              <w:rPr>
                <w:sz w:val="13"/>
                <w:szCs w:val="13"/>
                <w:color w:val="auto"/>
              </w:rPr>
            </w:pPr>
          </w:p>
        </w:tc>
        <w:tc>
          <w:tcPr>
            <w:tcW w:w="74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color w:val="auto"/>
              </w:rPr>
              <w:t>1 Year</w:t>
            </w:r>
          </w:p>
        </w:tc>
        <w:tc>
          <w:tcPr>
            <w:tcW w:w="10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1 to 3 Years</w:t>
            </w:r>
          </w:p>
        </w:tc>
        <w:tc>
          <w:tcPr>
            <w:tcW w:w="100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3 to 5 Years</w:t>
            </w:r>
          </w:p>
        </w:tc>
        <w:tc>
          <w:tcPr>
            <w:tcW w:w="130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color w:val="auto"/>
              </w:rPr>
              <w:t>More than 5 Years</w:t>
            </w:r>
          </w:p>
        </w:tc>
        <w:tc>
          <w:tcPr>
            <w:tcW w:w="98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38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398"/>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$ 7,616</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$ 16,595</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$ 16,541</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$ 85,506</w:t>
            </w:r>
          </w:p>
        </w:tc>
      </w:tr>
    </w:tbl>
    <w:p>
      <w:pPr>
        <w:spacing w:after="0" w:line="189" w:lineRule="exact"/>
        <w:rPr>
          <w:sz w:val="20"/>
          <w:szCs w:val="20"/>
          <w:color w:val="auto"/>
        </w:rPr>
      </w:pPr>
    </w:p>
    <w:p>
      <w:pPr>
        <w:ind w:left="60" w:right="619" w:hanging="10"/>
        <w:spacing w:after="0" w:line="255" w:lineRule="auto"/>
        <w:tabs>
          <w:tab w:leader="none" w:pos="374"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Reflects minimum interest payable under the Loan Agreement. Payment herein subject to variable rate debt have been estimated.</w:t>
      </w:r>
    </w:p>
    <w:p>
      <w:pPr>
        <w:spacing w:after="0" w:line="147"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agreements as of September 30, 2023 are contingent upon future events such as our achievement of pre-specified development, regulatory, and commercial milestones, or royalties on net product sales. As of September 30, 2023, the timing and likelihood of achieving the milestones and success payments and generating future product sales are uncertain and therefore, any related payments are not included in the table above. We have commitments under operating leases for certain facilities used in our operations.</w:t>
      </w:r>
    </w:p>
    <w:p>
      <w:pPr>
        <w:spacing w:after="0" w:line="154"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11 to our unaudited consolidated financial statements for additional information.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95"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49" w:lineRule="exact"/>
        <w:rPr>
          <w:sz w:val="20"/>
          <w:szCs w:val="20"/>
          <w:color w:val="auto"/>
        </w:rPr>
      </w:pPr>
    </w:p>
    <w:p>
      <w:pPr>
        <w:ind w:left="380" w:right="639" w:hanging="330"/>
        <w:spacing w:after="0" w:line="26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32" w:lineRule="exact"/>
        <w:rPr>
          <w:rFonts w:ascii="Arial" w:cs="Arial" w:eastAsia="Arial" w:hAnsi="Arial"/>
          <w:sz w:val="18"/>
          <w:szCs w:val="18"/>
          <w:color w:val="auto"/>
        </w:rPr>
      </w:pPr>
    </w:p>
    <w:p>
      <w:pPr>
        <w:ind w:left="380" w:hanging="330"/>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presenting reduced disclosure about our executive compensation arrangements;</w:t>
      </w:r>
    </w:p>
    <w:p>
      <w:pPr>
        <w:spacing w:after="0" w:line="198" w:lineRule="exact"/>
        <w:rPr>
          <w:rFonts w:ascii="Arial" w:cs="Arial" w:eastAsia="Arial" w:hAnsi="Arial"/>
          <w:sz w:val="18"/>
          <w:szCs w:val="18"/>
          <w:color w:val="auto"/>
        </w:rPr>
      </w:pPr>
    </w:p>
    <w:p>
      <w:pPr>
        <w:ind w:left="380" w:right="179" w:hanging="330"/>
        <w:spacing w:after="0" w:line="24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43" w:lineRule="exact"/>
        <w:rPr>
          <w:rFonts w:ascii="Arial" w:cs="Arial" w:eastAsia="Arial" w:hAnsi="Arial"/>
          <w:sz w:val="18"/>
          <w:szCs w:val="18"/>
          <w:color w:val="auto"/>
        </w:rPr>
      </w:pPr>
    </w:p>
    <w:p>
      <w:pPr>
        <w:ind w:left="380" w:right="539" w:hanging="330"/>
        <w:spacing w:after="0" w:line="26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32" w:lineRule="exact"/>
        <w:rPr>
          <w:rFonts w:ascii="Arial" w:cs="Arial" w:eastAsia="Arial" w:hAnsi="Arial"/>
          <w:sz w:val="18"/>
          <w:szCs w:val="18"/>
          <w:color w:val="auto"/>
        </w:rPr>
      </w:pPr>
    </w:p>
    <w:p>
      <w:pPr>
        <w:ind w:left="380" w:hanging="330"/>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67"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5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95"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Refer to Note 2, Summary of Significant Accounting Policies, included in Part I, Item 1 of this Quarterly Report on Form 10-Q for a discussion of our critical accounting policies.</w:t>
      </w:r>
    </w:p>
    <w:p>
      <w:pPr>
        <w:spacing w:after="0" w:line="132" w:lineRule="exact"/>
        <w:rPr>
          <w:sz w:val="20"/>
          <w:szCs w:val="20"/>
          <w:color w:val="auto"/>
        </w:rPr>
      </w:pPr>
    </w:p>
    <w:p>
      <w:pPr>
        <w:ind w:left="60" w:right="199"/>
        <w:spacing w:after="0" w:line="269" w:lineRule="auto"/>
        <w:rPr>
          <w:sz w:val="20"/>
          <w:szCs w:val="20"/>
          <w:color w:val="auto"/>
        </w:rPr>
      </w:pPr>
      <w:r>
        <w:rPr>
          <w:rFonts w:ascii="Arial" w:cs="Arial" w:eastAsia="Arial" w:hAnsi="Arial"/>
          <w:sz w:val="17"/>
          <w:szCs w:val="17"/>
          <w:color w:val="auto"/>
        </w:rPr>
        <w:t>During the nine months ended September 30, 2023, there were no material changes to our critical accounting policies from those described in our audited financial statements for the year ended December 31, 2022 included in the our Annual Report on Form 10-K filed with the SEC on March 16, 2023, except as noted below.</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5" w:lineRule="exact"/>
        <w:rPr>
          <w:sz w:val="20"/>
          <w:szCs w:val="20"/>
          <w:color w:val="auto"/>
        </w:rPr>
      </w:pPr>
    </w:p>
    <w:p>
      <w:pPr>
        <w:jc w:val="both"/>
        <w:ind w:left="60" w:right="379"/>
        <w:spacing w:after="0" w:line="247"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1"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had cash, cash equivalents, and restricted cash of $ 57.3 million as of September 30, 2023, which consisted of bank deposits and money market funds. We also had investments of $229.0 million as of September 30, 2023.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Instability</w:t>
      </w:r>
    </w:p>
    <w:p>
      <w:pPr>
        <w:spacing w:after="0" w:line="195" w:lineRule="exact"/>
        <w:rPr>
          <w:sz w:val="20"/>
          <w:szCs w:val="20"/>
          <w:color w:val="auto"/>
        </w:rPr>
      </w:pPr>
    </w:p>
    <w:p>
      <w:pPr>
        <w:ind w:left="60" w:right="79"/>
        <w:spacing w:after="0" w:line="289" w:lineRule="auto"/>
        <w:rPr>
          <w:sz w:val="20"/>
          <w:szCs w:val="20"/>
          <w:color w:val="auto"/>
        </w:rPr>
      </w:pPr>
      <w:r>
        <w:rPr>
          <w:rFonts w:ascii="Arial" w:cs="Arial" w:eastAsia="Arial" w:hAnsi="Arial"/>
          <w:sz w:val="17"/>
          <w:szCs w:val="17"/>
          <w:color w:val="auto"/>
        </w:rPr>
        <w:t>Future disruptions of financial institutions where we bank or have credit arrangements, or disruptions of the financial services industry in general, could adversely affect our ability to access our cash and cash equivalents.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81" w:lineRule="exact"/>
        <w:rPr>
          <w:sz w:val="20"/>
          <w:szCs w:val="20"/>
          <w:color w:val="auto"/>
        </w:rPr>
      </w:pPr>
    </w:p>
    <w:p>
      <w:pPr>
        <w:ind w:left="60" w:right="639"/>
        <w:spacing w:after="0" w:line="260"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81"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disclosures controls and procedures, as defined in Rules 13a-15(e) and 15d-</w:t>
      </w:r>
    </w:p>
    <w:p>
      <w:pPr>
        <w:spacing w:after="0" w:line="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15(e) under the Exchange Act, as of September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2023, our principal executive officer and principal financial officer concluded that, as of such date, our disclosure controls and procedures were effective at a reasonable assurance level.</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5" w:lineRule="exact"/>
        <w:rPr>
          <w:sz w:val="20"/>
          <w:szCs w:val="20"/>
          <w:color w:val="auto"/>
        </w:rPr>
      </w:pPr>
    </w:p>
    <w:p>
      <w:pPr>
        <w:ind w:left="60" w:right="379"/>
        <w:spacing w:after="0" w:line="247" w:lineRule="auto"/>
        <w:rPr>
          <w:sz w:val="20"/>
          <w:szCs w:val="20"/>
          <w:color w:val="auto"/>
        </w:rPr>
      </w:pPr>
      <w:r>
        <w:rPr>
          <w:rFonts w:ascii="Arial" w:cs="Arial" w:eastAsia="Arial" w:hAnsi="Arial"/>
          <w:sz w:val="18"/>
          <w:szCs w:val="18"/>
          <w:color w:val="auto"/>
        </w:rPr>
        <w:t>Management determined that, as of September 30, 2023, there were no changes in our internal control over financial reporting that occurred during the three months then ended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1"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81"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2022.</w:t>
      </w:r>
    </w:p>
    <w:p>
      <w:pPr>
        <w:spacing w:after="0" w:line="136" w:lineRule="exact"/>
        <w:rPr>
          <w:sz w:val="20"/>
          <w:szCs w:val="20"/>
          <w:color w:val="auto"/>
        </w:rPr>
      </w:pPr>
    </w:p>
    <w:p>
      <w:pPr>
        <w:ind w:left="60" w:right="3159"/>
        <w:spacing w:after="0" w:line="444"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Use of Proceeds</w:t>
      </w:r>
    </w:p>
    <w:p>
      <w:pPr>
        <w:ind w:left="60" w:right="99"/>
        <w:spacing w:after="0" w:line="256" w:lineRule="auto"/>
        <w:rPr>
          <w:sz w:val="20"/>
          <w:szCs w:val="20"/>
          <w:color w:val="auto"/>
        </w:rPr>
      </w:pPr>
      <w:r>
        <w:rPr>
          <w:rFonts w:ascii="Arial" w:cs="Arial" w:eastAsia="Arial" w:hAnsi="Arial"/>
          <w:sz w:val="17"/>
          <w:szCs w:val="17"/>
          <w:color w:val="auto"/>
        </w:rPr>
        <w:t>On June 22, 2021, we completed our IPO. Our registration statement on Form S-1 (File No. 333- 256648) relating to the IPO was declared effective by the SEC on June 17, 2021. We issued an aggregate of 12,132,500 shares of our common stock at a price of $20.00 per share for aggregate net cash proceeds of $221.4 million, after deducting approximately $17.0 million in underwriting discounts and commissions and approximately $4.0 million in other offering costs. None of the expenses associated with the IPO were paid to directors, officers, persons owning 10% or more of any class of equity securities, or to their associates, or to our affiliates.</w:t>
      </w:r>
    </w:p>
    <w:p>
      <w:pPr>
        <w:spacing w:after="0" w:line="153"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color w:val="auto"/>
        </w:rPr>
        <w:t>The sale and issuance of 12,132,500 shares in the IPO closed on June 22, 2021. J.P. Morgan, BofA Securities, SVB Leerink and Piper Sandler acted as joint book-running managers for the IPO.</w:t>
      </w:r>
    </w:p>
    <w:p>
      <w:pPr>
        <w:spacing w:after="0" w:line="132" w:lineRule="exact"/>
        <w:rPr>
          <w:sz w:val="20"/>
          <w:szCs w:val="20"/>
          <w:color w:val="auto"/>
        </w:rPr>
      </w:pPr>
    </w:p>
    <w:p>
      <w:pPr>
        <w:ind w:left="60" w:right="459"/>
        <w:spacing w:after="0" w:line="260"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June 21, 2021.</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tbl>
      <w:tblPr>
        <w:tblLayout w:type="fixed"/>
        <w:tblInd w:w="40" w:type="dxa"/>
        <w:tblCellMar>
          <w:top w:w="0" w:type="dxa"/>
          <w:left w:w="0" w:type="dxa"/>
          <w:bottom w:w="0" w:type="dxa"/>
          <w:right w:w="0" w:type="dxa"/>
        </w:tblCellMar>
      </w:tblPr>
      <w:tr>
        <w:trPr>
          <w:trHeight w:val="183"/>
        </w:trPr>
        <w:tc>
          <w:tcPr>
            <w:tcW w:w="7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5"/>
                <w:szCs w:val="15"/>
                <w:color w:val="auto"/>
              </w:rPr>
            </w:pPr>
          </w:p>
        </w:tc>
        <w:tc>
          <w:tcPr>
            <w:tcW w:w="7740" w:type="dxa"/>
            <w:vAlign w:val="bottom"/>
            <w:tcBorders>
              <w:top w:val="single" w:sz="8" w:color="auto"/>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Second Amendment to License Agreement (Reprogramming), by and between the Company and</w:t>
            </w:r>
          </w:p>
        </w:tc>
        <w:tc>
          <w:tcPr>
            <w:tcW w:w="200" w:type="dxa"/>
            <w:vAlign w:val="bottom"/>
            <w:tcBorders>
              <w:top w:val="single" w:sz="8" w:color="auto"/>
            </w:tcBorders>
            <w:gridSpan w:val="3"/>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13"/>
          </w:tcPr>
          <w:p>
            <w:pPr>
              <w:spacing w:after="0" w:line="182" w:lineRule="exact"/>
              <w:rPr>
                <w:sz w:val="20"/>
                <w:szCs w:val="20"/>
                <w:color w:val="auto"/>
              </w:rPr>
            </w:pPr>
            <w:r>
              <w:rPr>
                <w:rFonts w:ascii="Arial" w:cs="Arial" w:eastAsia="Arial" w:hAnsi="Arial"/>
                <w:sz w:val="18"/>
                <w:szCs w:val="18"/>
                <w:color w:val="0000EE"/>
              </w:rPr>
              <w:t>FUJIFILM Cellular Dynamics Inc., dated September 22, 2023</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71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9"/>
              </w:rPr>
              <w:t>Amendment No. 5 to Master Collaboration Agreement, by and between the Company and</w:t>
            </w:r>
          </w:p>
        </w:tc>
        <w:tc>
          <w:tcPr>
            <w:tcW w:w="800" w:type="dxa"/>
            <w:vAlign w:val="bottom"/>
            <w:gridSpan w:val="7"/>
          </w:tcPr>
          <w:p>
            <w:pPr>
              <w:spacing w:after="0"/>
              <w:rPr>
                <w:sz w:val="17"/>
                <w:szCs w:val="17"/>
                <w:color w:val="auto"/>
              </w:rPr>
            </w:pPr>
          </w:p>
        </w:tc>
      </w:tr>
      <w:tr>
        <w:trPr>
          <w:trHeight w:val="183"/>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13"/>
          </w:tcPr>
          <w:p>
            <w:pPr>
              <w:spacing w:after="0" w:line="182" w:lineRule="exact"/>
              <w:rPr>
                <w:sz w:val="20"/>
                <w:szCs w:val="20"/>
                <w:color w:val="auto"/>
              </w:rPr>
            </w:pPr>
            <w:r>
              <w:rPr>
                <w:rFonts w:ascii="Arial" w:cs="Arial" w:eastAsia="Arial" w:hAnsi="Arial"/>
                <w:sz w:val="18"/>
                <w:szCs w:val="18"/>
                <w:color w:val="0000EE"/>
              </w:rPr>
              <w:t>FUJIFILM Cellular Dynamics Inc., dated September 22, 2023</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75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9"/>
              </w:rPr>
              <w:t>Second Amendment to License Agreement (Differentiation), by and between the Company and</w:t>
            </w:r>
          </w:p>
        </w:tc>
        <w:tc>
          <w:tcPr>
            <w:tcW w:w="380" w:type="dxa"/>
            <w:vAlign w:val="bottom"/>
            <w:gridSpan w:val="5"/>
          </w:tcPr>
          <w:p>
            <w:pPr>
              <w:spacing w:after="0"/>
              <w:rPr>
                <w:sz w:val="17"/>
                <w:szCs w:val="17"/>
                <w:color w:val="auto"/>
              </w:rPr>
            </w:pPr>
          </w:p>
        </w:tc>
      </w:tr>
      <w:tr>
        <w:trPr>
          <w:trHeight w:val="183"/>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2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FUJIFILM Cellular Dynamics Inc., dated September 22, 2023.</w:t>
            </w:r>
          </w:p>
        </w:tc>
        <w:tc>
          <w:tcPr>
            <w:tcW w:w="3020" w:type="dxa"/>
            <w:vAlign w:val="bottom"/>
            <w:gridSpan w:val="8"/>
          </w:tcPr>
          <w:p>
            <w:pPr>
              <w:spacing w:after="0"/>
              <w:rPr>
                <w:sz w:val="15"/>
                <w:szCs w:val="15"/>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7"/>
                <w:szCs w:val="17"/>
                <w:color w:val="auto"/>
              </w:rPr>
            </w:pPr>
          </w:p>
        </w:tc>
        <w:tc>
          <w:tcPr>
            <w:tcW w:w="76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Certification of Principal Executive Officer Pursuant to Rules 13a-14(a) and 15d-14(a) under the</w:t>
            </w:r>
          </w:p>
        </w:tc>
        <w:tc>
          <w:tcPr>
            <w:tcW w:w="340" w:type="dxa"/>
            <w:vAlign w:val="bottom"/>
            <w:gridSpan w:val="4"/>
          </w:tcPr>
          <w:p>
            <w:pPr>
              <w:spacing w:after="0"/>
              <w:rPr>
                <w:sz w:val="17"/>
                <w:szCs w:val="17"/>
                <w:color w:val="auto"/>
              </w:rPr>
            </w:pPr>
          </w:p>
        </w:tc>
      </w:tr>
      <w:tr>
        <w:trPr>
          <w:trHeight w:val="183"/>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74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Securities Exchange Act of 1934, as Adopted Pursuant to Section 302 of the Sarbanes-Oxley Act</w:t>
            </w:r>
          </w:p>
        </w:tc>
        <w:tc>
          <w:tcPr>
            <w:tcW w:w="200" w:type="dxa"/>
            <w:vAlign w:val="bottom"/>
            <w:gridSpan w:val="3"/>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13"/>
          </w:tcPr>
          <w:p>
            <w:pPr>
              <w:spacing w:after="0" w:line="182" w:lineRule="exact"/>
              <w:rPr>
                <w:sz w:val="20"/>
                <w:szCs w:val="20"/>
                <w:color w:val="auto"/>
              </w:rPr>
            </w:pPr>
            <w:r>
              <w:rPr>
                <w:rFonts w:ascii="Arial" w:cs="Arial" w:eastAsia="Arial" w:hAnsi="Arial"/>
                <w:sz w:val="18"/>
                <w:szCs w:val="18"/>
                <w:color w:val="0000EE"/>
              </w:rPr>
              <w:t>of 2002</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7"/>
                <w:szCs w:val="17"/>
                <w:color w:val="auto"/>
              </w:rPr>
            </w:pPr>
          </w:p>
        </w:tc>
        <w:tc>
          <w:tcPr>
            <w:tcW w:w="75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Rules 13a-14(a) and 15d-14(a) under the</w:t>
            </w:r>
          </w:p>
        </w:tc>
        <w:tc>
          <w:tcPr>
            <w:tcW w:w="400" w:type="dxa"/>
            <w:vAlign w:val="bottom"/>
            <w:gridSpan w:val="6"/>
          </w:tcPr>
          <w:p>
            <w:pPr>
              <w:spacing w:after="0"/>
              <w:rPr>
                <w:sz w:val="17"/>
                <w:szCs w:val="17"/>
                <w:color w:val="auto"/>
              </w:rPr>
            </w:pPr>
          </w:p>
        </w:tc>
      </w:tr>
      <w:tr>
        <w:trPr>
          <w:trHeight w:val="183"/>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74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Securities Exchange Act of 1934, as Adopted Pursuant to Section 302 of the Sarbanes-Oxley Act</w:t>
            </w:r>
          </w:p>
        </w:tc>
        <w:tc>
          <w:tcPr>
            <w:tcW w:w="200" w:type="dxa"/>
            <w:vAlign w:val="bottom"/>
            <w:gridSpan w:val="3"/>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13"/>
          </w:tcPr>
          <w:p>
            <w:pPr>
              <w:spacing w:after="0" w:line="182" w:lineRule="exact"/>
              <w:rPr>
                <w:sz w:val="20"/>
                <w:szCs w:val="20"/>
                <w:color w:val="auto"/>
              </w:rPr>
            </w:pPr>
            <w:r>
              <w:rPr>
                <w:rFonts w:ascii="Arial" w:cs="Arial" w:eastAsia="Arial" w:hAnsi="Arial"/>
                <w:sz w:val="18"/>
                <w:szCs w:val="18"/>
                <w:color w:val="0000EE"/>
              </w:rPr>
              <w:t>of 2002</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200" w:type="dxa"/>
            <w:vAlign w:val="bottom"/>
          </w:tcPr>
          <w:p>
            <w:pPr>
              <w:spacing w:after="0"/>
              <w:rPr>
                <w:sz w:val="17"/>
                <w:szCs w:val="17"/>
                <w:color w:val="auto"/>
              </w:rPr>
            </w:pPr>
          </w:p>
        </w:tc>
        <w:tc>
          <w:tcPr>
            <w:tcW w:w="7940" w:type="dxa"/>
            <w:vAlign w:val="bottom"/>
            <w:gridSpan w:val="13"/>
          </w:tcPr>
          <w:p>
            <w:pPr>
              <w:spacing w:after="0" w:line="196" w:lineRule="exact"/>
              <w:rPr>
                <w:sz w:val="20"/>
                <w:szCs w:val="20"/>
                <w:color w:val="auto"/>
              </w:rPr>
            </w:pPr>
            <w:r>
              <w:rPr>
                <w:rFonts w:ascii="Arial" w:cs="Arial" w:eastAsia="Arial" w:hAnsi="Arial"/>
                <w:sz w:val="18"/>
                <w:szCs w:val="18"/>
                <w:color w:val="0000EE"/>
              </w:rPr>
              <w:t>Certification of Chief Executive Officer pursuant to 18 U.S.C. Section 1350, as adopted pursuant to</w:t>
            </w:r>
          </w:p>
        </w:tc>
      </w:tr>
      <w:tr>
        <w:trPr>
          <w:trHeight w:val="183"/>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Section 906 of the Sarbanes-Oxley Act of 2002</w:t>
            </w:r>
          </w:p>
        </w:tc>
        <w:tc>
          <w:tcPr>
            <w:tcW w:w="4080" w:type="dxa"/>
            <w:vAlign w:val="bottom"/>
            <w:tcBorders>
              <w:top w:val="single" w:sz="8" w:color="0000EE"/>
            </w:tcBorders>
            <w:gridSpan w:val="9"/>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32.2*</w:t>
            </w:r>
          </w:p>
        </w:tc>
        <w:tc>
          <w:tcPr>
            <w:tcW w:w="200" w:type="dxa"/>
            <w:vAlign w:val="bottom"/>
          </w:tcPr>
          <w:p>
            <w:pPr>
              <w:spacing w:after="0"/>
              <w:rPr>
                <w:sz w:val="17"/>
                <w:szCs w:val="17"/>
                <w:color w:val="auto"/>
              </w:rPr>
            </w:pPr>
          </w:p>
        </w:tc>
        <w:tc>
          <w:tcPr>
            <w:tcW w:w="78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18 U.S.C. Section 1350, as adopted pursuant</w:t>
            </w:r>
          </w:p>
        </w:tc>
        <w:tc>
          <w:tcPr>
            <w:tcW w:w="80" w:type="dxa"/>
            <w:vAlign w:val="bottom"/>
          </w:tcPr>
          <w:p>
            <w:pPr>
              <w:spacing w:after="0"/>
              <w:rPr>
                <w:sz w:val="17"/>
                <w:szCs w:val="17"/>
                <w:color w:val="auto"/>
              </w:rPr>
            </w:pPr>
          </w:p>
        </w:tc>
      </w:tr>
      <w:tr>
        <w:trPr>
          <w:trHeight w:val="183"/>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to Section 906 of the Sarbanes-Oxley Act of 2002</w:t>
            </w:r>
          </w:p>
        </w:tc>
        <w:tc>
          <w:tcPr>
            <w:tcW w:w="3980" w:type="dxa"/>
            <w:vAlign w:val="bottom"/>
            <w:gridSpan w:val="10"/>
          </w:tcPr>
          <w:p>
            <w:pPr>
              <w:spacing w:after="0"/>
              <w:rPr>
                <w:sz w:val="15"/>
                <w:szCs w:val="15"/>
                <w:color w:val="auto"/>
              </w:rPr>
            </w:pPr>
          </w:p>
        </w:tc>
      </w:tr>
      <w:tr>
        <w:trPr>
          <w:trHeight w:val="210"/>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7940" w:type="dxa"/>
            <w:vAlign w:val="bottom"/>
            <w:gridSpan w:val="13"/>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w:t>
            </w:r>
          </w:p>
        </w:tc>
      </w:tr>
      <w:tr>
        <w:trPr>
          <w:trHeight w:val="216"/>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40" w:type="dxa"/>
            <w:vAlign w:val="bottom"/>
            <w:gridSpan w:val="13"/>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r>
      <w:tr>
        <w:trPr>
          <w:trHeight w:val="21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794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794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794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794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28"/>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794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ind w:left="1000" w:right="459" w:hanging="945"/>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cover page from Century Therapeutics, Inc. Quarterly Report on Form 10-Q for the quarter ended September 30, 2023,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8" w:lineRule="exact"/>
        <w:rPr>
          <w:sz w:val="20"/>
          <w:szCs w:val="20"/>
          <w:color w:val="auto"/>
        </w:rPr>
      </w:pPr>
    </w:p>
    <w:p>
      <w:pPr>
        <w:ind w:left="440" w:hanging="385"/>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w:t>
      </w:r>
    </w:p>
    <w:p>
      <w:pPr>
        <w:spacing w:after="0" w:line="7" w:lineRule="exact"/>
        <w:rPr>
          <w:rFonts w:ascii="Arial" w:cs="Arial" w:eastAsia="Arial" w:hAnsi="Arial"/>
          <w:sz w:val="18"/>
          <w:szCs w:val="18"/>
          <w:color w:val="auto"/>
        </w:rPr>
      </w:pPr>
    </w:p>
    <w:p>
      <w:pPr>
        <w:ind w:left="440" w:right="99"/>
        <w:spacing w:after="0" w:line="234" w:lineRule="auto"/>
        <w:rPr>
          <w:rFonts w:ascii="Arial" w:cs="Arial" w:eastAsia="Arial" w:hAnsi="Arial"/>
          <w:sz w:val="18"/>
          <w:szCs w:val="18"/>
          <w:color w:val="auto"/>
        </w:rPr>
      </w:pPr>
      <w:r>
        <w:rPr>
          <w:rFonts w:ascii="Arial" w:cs="Arial" w:eastAsia="Arial" w:hAnsi="Arial"/>
          <w:sz w:val="18"/>
          <w:szCs w:val="18"/>
          <w:color w:val="auto"/>
        </w:rPr>
        <w:t>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3" w:lineRule="exact"/>
        <w:rPr>
          <w:sz w:val="20"/>
          <w:szCs w:val="20"/>
          <w:color w:val="auto"/>
        </w:rPr>
      </w:pPr>
    </w:p>
    <w:p>
      <w:pPr>
        <w:ind w:left="440" w:right="299" w:hanging="385"/>
        <w:spacing w:after="0" w:line="246"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identified information in the exhibit has been omitted because it is the type of information that (1) the Company customarily and actually treats as private and confidential, and (ii)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5" w:lineRule="exact"/>
        <w:rPr>
          <w:sz w:val="20"/>
          <w:szCs w:val="20"/>
          <w:color w:val="auto"/>
        </w:rPr>
      </w:pPr>
    </w:p>
    <w:p>
      <w:pPr>
        <w:ind w:left="60" w:right="539"/>
        <w:spacing w:after="0" w:line="24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Century Therapeutics, Inc.</w:t>
      </w:r>
    </w:p>
    <w:p>
      <w:pPr>
        <w:spacing w:after="0" w:line="198" w:lineRule="exact"/>
        <w:rPr>
          <w:sz w:val="20"/>
          <w:szCs w:val="20"/>
          <w:color w:val="auto"/>
        </w:rPr>
      </w:pPr>
    </w:p>
    <w:p>
      <w:pPr>
        <w:ind w:left="60"/>
        <w:spacing w:after="0"/>
        <w:tabs>
          <w:tab w:leader="none" w:pos="4500" w:val="left"/>
          <w:tab w:leader="none" w:pos="58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Russotti,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5080</wp:posOffset>
            </wp:positionV>
            <wp:extent cx="26149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jc w:val="center"/>
        <w:ind w:left="4760"/>
        <w:spacing w:after="0"/>
        <w:rPr>
          <w:sz w:val="20"/>
          <w:szCs w:val="20"/>
          <w:color w:val="auto"/>
        </w:rPr>
      </w:pPr>
      <w:r>
        <w:rPr>
          <w:rFonts w:ascii="Arial" w:cs="Arial" w:eastAsia="Arial" w:hAnsi="Arial"/>
          <w:sz w:val="18"/>
          <w:szCs w:val="18"/>
          <w:color w:val="auto"/>
        </w:rPr>
        <w:t>Gregory Russotti, Ph.D.</w:t>
      </w:r>
    </w:p>
    <w:p>
      <w:pPr>
        <w:jc w:val="center"/>
        <w:ind w:left="4760"/>
        <w:spacing w:after="0"/>
        <w:rPr>
          <w:sz w:val="20"/>
          <w:szCs w:val="20"/>
          <w:color w:val="auto"/>
        </w:rPr>
      </w:pPr>
      <w:r>
        <w:rPr>
          <w:rFonts w:ascii="Arial" w:cs="Arial" w:eastAsia="Arial" w:hAnsi="Arial"/>
          <w:sz w:val="17"/>
          <w:szCs w:val="17"/>
          <w:color w:val="auto"/>
        </w:rPr>
        <w:t>Interim President and Chief Executive Officer</w:t>
      </w:r>
    </w:p>
    <w:p>
      <w:pPr>
        <w:spacing w:after="0" w:line="7"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(Principal Executive Officer)</w:t>
      </w:r>
    </w:p>
    <w:p>
      <w:pPr>
        <w:spacing w:after="0" w:line="186" w:lineRule="exact"/>
        <w:rPr>
          <w:sz w:val="20"/>
          <w:szCs w:val="20"/>
          <w:color w:val="auto"/>
        </w:rPr>
      </w:pPr>
    </w:p>
    <w:p>
      <w:pPr>
        <w:ind w:left="60"/>
        <w:spacing w:after="0"/>
        <w:tabs>
          <w:tab w:leader="none" w:pos="4500" w:val="left"/>
          <w:tab w:leader="none" w:pos="596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5080</wp:posOffset>
            </wp:positionV>
            <wp:extent cx="26149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jc w:val="center"/>
        <w:ind w:left="4760"/>
        <w:spacing w:after="0"/>
        <w:rPr>
          <w:sz w:val="20"/>
          <w:szCs w:val="20"/>
          <w:color w:val="auto"/>
        </w:rPr>
      </w:pPr>
      <w:r>
        <w:rPr>
          <w:rFonts w:ascii="Arial" w:cs="Arial" w:eastAsia="Arial" w:hAnsi="Arial"/>
          <w:sz w:val="18"/>
          <w:szCs w:val="18"/>
          <w:color w:val="auto"/>
        </w:rPr>
        <w:t>Michael Diem, M.D.</w:t>
      </w:r>
    </w:p>
    <w:p>
      <w:pPr>
        <w:jc w:val="center"/>
        <w:ind w:left="47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0" w:name="page51"/>
    <w:bookmarkEnd w:id="50"/>
    <w:p>
      <w:pPr>
        <w:ind w:left="1320" w:right="1019" w:hanging="311"/>
        <w:spacing w:after="0" w:line="276" w:lineRule="auto"/>
        <w:tabs>
          <w:tab w:leader="none" w:pos="14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601(b)(10). Such excluded information is not material and the registrant</w:t>
      </w:r>
    </w:p>
    <w:p>
      <w:pPr>
        <w:ind w:left="2200"/>
        <w:spacing w:after="0"/>
        <w:rPr>
          <w:rFonts w:ascii="Arial" w:cs="Arial" w:eastAsia="Arial" w:hAnsi="Arial"/>
          <w:sz w:val="18"/>
          <w:szCs w:val="18"/>
          <w:color w:val="auto"/>
        </w:rPr>
      </w:pPr>
      <w:r>
        <w:rPr>
          <w:rFonts w:ascii="Arial" w:cs="Arial" w:eastAsia="Arial" w:hAnsi="Arial"/>
          <w:sz w:val="20"/>
          <w:szCs w:val="20"/>
          <w:color w:val="auto"/>
        </w:rPr>
        <w:t>customarily and actually treats as private and confidential.</w:t>
      </w:r>
    </w:p>
    <w:p>
      <w:pPr>
        <w:spacing w:after="0" w:line="213" w:lineRule="exact"/>
        <w:rPr>
          <w:sz w:val="20"/>
          <w:szCs w:val="20"/>
          <w:color w:val="auto"/>
        </w:rPr>
      </w:pPr>
    </w:p>
    <w:p>
      <w:pPr>
        <w:jc w:val="right"/>
        <w:ind w:right="219"/>
        <w:spacing w:after="0"/>
        <w:rPr>
          <w:sz w:val="20"/>
          <w:szCs w:val="20"/>
          <w:color w:val="auto"/>
        </w:rPr>
      </w:pPr>
      <w:r>
        <w:rPr>
          <w:rFonts w:ascii="Arial" w:cs="Arial" w:eastAsia="Arial" w:hAnsi="Arial"/>
          <w:sz w:val="20"/>
          <w:szCs w:val="20"/>
          <w:i w:val="1"/>
          <w:iCs w:val="1"/>
          <w:color w:val="auto"/>
        </w:rPr>
        <w:t>Reprogramming</w:t>
      </w:r>
    </w:p>
    <w:p>
      <w:pPr>
        <w:spacing w:after="0" w:line="16"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Execution Version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SECOND AMENDMENT</w:t>
      </w:r>
    </w:p>
    <w:p>
      <w:pPr>
        <w:jc w:val="center"/>
        <w:ind w:right="19"/>
        <w:spacing w:after="0"/>
        <w:rPr>
          <w:sz w:val="20"/>
          <w:szCs w:val="20"/>
          <w:color w:val="auto"/>
        </w:rPr>
      </w:pPr>
      <w:r>
        <w:rPr>
          <w:rFonts w:ascii="Arial" w:cs="Arial" w:eastAsia="Arial" w:hAnsi="Arial"/>
          <w:sz w:val="20"/>
          <w:szCs w:val="20"/>
          <w:b w:val="1"/>
          <w:bCs w:val="1"/>
          <w:color w:val="auto"/>
        </w:rPr>
        <w:t>TO</w:t>
      </w:r>
    </w:p>
    <w:p>
      <w:pPr>
        <w:jc w:val="center"/>
        <w:ind w:right="19"/>
        <w:spacing w:after="0"/>
        <w:rPr>
          <w:sz w:val="20"/>
          <w:szCs w:val="20"/>
          <w:color w:val="auto"/>
        </w:rPr>
      </w:pPr>
      <w:r>
        <w:rPr>
          <w:rFonts w:ascii="Arial" w:cs="Arial" w:eastAsia="Arial" w:hAnsi="Arial"/>
          <w:sz w:val="20"/>
          <w:szCs w:val="20"/>
          <w:b w:val="1"/>
          <w:bCs w:val="1"/>
          <w:color w:val="auto"/>
        </w:rPr>
        <w:t>LICENSE AGREEMENT</w:t>
      </w:r>
    </w:p>
    <w:p>
      <w:pPr>
        <w:spacing w:after="0" w:line="194" w:lineRule="exact"/>
        <w:rPr>
          <w:sz w:val="20"/>
          <w:szCs w:val="20"/>
          <w:color w:val="auto"/>
        </w:rPr>
      </w:pPr>
    </w:p>
    <w:p>
      <w:pPr>
        <w:jc w:val="both"/>
        <w:ind w:left="200" w:right="219" w:firstLine="1296"/>
        <w:spacing w:after="0" w:line="242" w:lineRule="auto"/>
        <w:rPr>
          <w:sz w:val="20"/>
          <w:szCs w:val="20"/>
          <w:color w:val="auto"/>
        </w:rPr>
      </w:pPr>
      <w:r>
        <w:rPr>
          <w:rFonts w:ascii="Arial" w:cs="Arial" w:eastAsia="Arial" w:hAnsi="Arial"/>
          <w:sz w:val="20"/>
          <w:szCs w:val="20"/>
          <w:color w:val="auto"/>
        </w:rPr>
        <w:t>This Second Amendment to License Agreement (the “</w:t>
      </w:r>
      <w:r>
        <w:rPr>
          <w:rFonts w:ascii="Arial" w:cs="Arial" w:eastAsia="Arial" w:hAnsi="Arial"/>
          <w:sz w:val="20"/>
          <w:szCs w:val="20"/>
          <w:b w:val="1"/>
          <w:bCs w:val="1"/>
          <w:color w:val="auto"/>
        </w:rPr>
        <w:t>Second Amendment</w:t>
      </w:r>
      <w:r>
        <w:rPr>
          <w:rFonts w:ascii="Arial" w:cs="Arial" w:eastAsia="Arial" w:hAnsi="Arial"/>
          <w:sz w:val="20"/>
          <w:szCs w:val="20"/>
          <w:color w:val="auto"/>
        </w:rPr>
        <w:t>”) is made and effective as of September 22, 2023 (the “</w:t>
      </w:r>
      <w:r>
        <w:rPr>
          <w:rFonts w:ascii="Arial" w:cs="Arial" w:eastAsia="Arial" w:hAnsi="Arial"/>
          <w:sz w:val="20"/>
          <w:szCs w:val="20"/>
          <w:b w:val="1"/>
          <w:bCs w:val="1"/>
          <w:color w:val="auto"/>
        </w:rPr>
        <w:t>Second Amendment Effective Date</w:t>
      </w:r>
      <w:r>
        <w:rPr>
          <w:rFonts w:ascii="Arial" w:cs="Arial" w:eastAsia="Arial" w:hAnsi="Arial"/>
          <w:sz w:val="20"/>
          <w:szCs w:val="20"/>
          <w:color w:val="auto"/>
        </w:rPr>
        <w:t>”) between Century Therapeutics, Inc. (f/k/a Century Therapeutics, LLC), a Delaware corporation (“</w:t>
      </w:r>
      <w:r>
        <w:rPr>
          <w:rFonts w:ascii="Arial" w:cs="Arial" w:eastAsia="Arial" w:hAnsi="Arial"/>
          <w:sz w:val="20"/>
          <w:szCs w:val="20"/>
          <w:b w:val="1"/>
          <w:bCs w:val="1"/>
          <w:color w:val="auto"/>
        </w:rPr>
        <w:t>Century</w:t>
      </w:r>
      <w:r>
        <w:rPr>
          <w:rFonts w:ascii="Arial" w:cs="Arial" w:eastAsia="Arial" w:hAnsi="Arial"/>
          <w:sz w:val="20"/>
          <w:szCs w:val="20"/>
          <w:color w:val="auto"/>
        </w:rPr>
        <w:t>”) having a principal place of business at 3675 Market Street, Philadelphia, PA 19104 USA, and FUJIFILM Cellular Dynamics Inc., a Wisconsin corporation (“</w:t>
      </w:r>
      <w:r>
        <w:rPr>
          <w:rFonts w:ascii="Arial" w:cs="Arial" w:eastAsia="Arial" w:hAnsi="Arial"/>
          <w:sz w:val="20"/>
          <w:szCs w:val="20"/>
          <w:b w:val="1"/>
          <w:bCs w:val="1"/>
          <w:color w:val="auto"/>
        </w:rPr>
        <w:t>CDI</w:t>
      </w:r>
      <w:r>
        <w:rPr>
          <w:rFonts w:ascii="Arial" w:cs="Arial" w:eastAsia="Arial" w:hAnsi="Arial"/>
          <w:sz w:val="20"/>
          <w:szCs w:val="20"/>
          <w:color w:val="auto"/>
        </w:rPr>
        <w:t>”) having an address at 525 Science Drive, Madison, WI 53711 USA, and amends the License Agreement by and between Century (as assignee of Century Therapeutics, Inc. (“</w:t>
      </w:r>
      <w:r>
        <w:rPr>
          <w:rFonts w:ascii="Arial" w:cs="Arial" w:eastAsia="Arial" w:hAnsi="Arial"/>
          <w:sz w:val="20"/>
          <w:szCs w:val="20"/>
          <w:b w:val="1"/>
          <w:bCs w:val="1"/>
          <w:color w:val="auto"/>
        </w:rPr>
        <w:t>Century Inc.</w:t>
      </w:r>
      <w:r>
        <w:rPr>
          <w:rFonts w:ascii="Arial" w:cs="Arial" w:eastAsia="Arial" w:hAnsi="Arial"/>
          <w:sz w:val="20"/>
          <w:szCs w:val="20"/>
          <w:color w:val="auto"/>
        </w:rPr>
        <w:t>”)) and CDI dated September 18, 2018 (as amended, the “</w:t>
      </w:r>
      <w:r>
        <w:rPr>
          <w:rFonts w:ascii="Arial" w:cs="Arial" w:eastAsia="Arial" w:hAnsi="Arial"/>
          <w:sz w:val="20"/>
          <w:szCs w:val="20"/>
          <w:b w:val="1"/>
          <w:bCs w:val="1"/>
          <w:color w:val="auto"/>
        </w:rPr>
        <w:t>License</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All capitalized terms used but not otherwise defined herein shall have the meaning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in the License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WHEREAS, on September 18, 2018, Century Inc. and CDI entered into the License</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jc w:val="both"/>
        <w:ind w:left="200" w:right="219" w:firstLine="1296"/>
        <w:spacing w:after="0" w:line="316" w:lineRule="auto"/>
        <w:rPr>
          <w:sz w:val="20"/>
          <w:szCs w:val="20"/>
          <w:color w:val="auto"/>
        </w:rPr>
      </w:pPr>
      <w:r>
        <w:rPr>
          <w:rFonts w:ascii="Arial" w:cs="Arial" w:eastAsia="Arial" w:hAnsi="Arial"/>
          <w:sz w:val="18"/>
          <w:szCs w:val="18"/>
          <w:color w:val="auto"/>
        </w:rPr>
        <w:t>WHEREAS, pursuant to the License Agreement CDI granted Century Inc. a non-exclusive license under the Licensed Patent Rights to Exploit the Licensed Products in the Field in the Territory;</w:t>
      </w:r>
    </w:p>
    <w:p>
      <w:pPr>
        <w:spacing w:after="0" w:line="130" w:lineRule="exact"/>
        <w:rPr>
          <w:sz w:val="20"/>
          <w:szCs w:val="20"/>
          <w:color w:val="auto"/>
        </w:rPr>
      </w:pPr>
    </w:p>
    <w:p>
      <w:pPr>
        <w:jc w:val="both"/>
        <w:ind w:left="200" w:right="219" w:firstLine="1296"/>
        <w:spacing w:after="0" w:line="260" w:lineRule="auto"/>
        <w:rPr>
          <w:sz w:val="20"/>
          <w:szCs w:val="20"/>
          <w:color w:val="auto"/>
        </w:rPr>
      </w:pPr>
      <w:r>
        <w:rPr>
          <w:rFonts w:ascii="Arial" w:cs="Arial" w:eastAsia="Arial" w:hAnsi="Arial"/>
          <w:sz w:val="20"/>
          <w:szCs w:val="20"/>
          <w:color w:val="auto"/>
        </w:rPr>
        <w:t>WHEREAS, Century Inc. assigned all of its rights and obligations under the License Agreement to Century;</w:t>
      </w:r>
    </w:p>
    <w:p>
      <w:pPr>
        <w:spacing w:after="0" w:line="177" w:lineRule="exact"/>
        <w:rPr>
          <w:sz w:val="20"/>
          <w:szCs w:val="20"/>
          <w:color w:val="auto"/>
        </w:rPr>
      </w:pPr>
    </w:p>
    <w:p>
      <w:pPr>
        <w:jc w:val="both"/>
        <w:ind w:left="200" w:right="219" w:firstLine="1296"/>
        <w:spacing w:after="0" w:line="246" w:lineRule="auto"/>
        <w:rPr>
          <w:sz w:val="20"/>
          <w:szCs w:val="20"/>
          <w:color w:val="auto"/>
        </w:rPr>
      </w:pPr>
      <w:r>
        <w:rPr>
          <w:rFonts w:ascii="Arial" w:cs="Arial" w:eastAsia="Arial" w:hAnsi="Arial"/>
          <w:sz w:val="20"/>
          <w:szCs w:val="20"/>
          <w:color w:val="auto"/>
        </w:rPr>
        <w:t>WHEREAS, certain terms of the License Agreement were modified as set forth in that certain Letter Agreement Regarding WARF/CDI License Agreement and CDI/Century Sublicense Agreement dated as of July 2, 2019, by and among CDI, Century and Wisconsin Alumni Research Foundation (“</w:t>
      </w:r>
      <w:r>
        <w:rPr>
          <w:rFonts w:ascii="Arial" w:cs="Arial" w:eastAsia="Arial" w:hAnsi="Arial"/>
          <w:sz w:val="20"/>
          <w:szCs w:val="20"/>
          <w:b w:val="1"/>
          <w:bCs w:val="1"/>
          <w:color w:val="auto"/>
        </w:rPr>
        <w:t>WARF Side Letter</w:t>
      </w:r>
      <w:r>
        <w:rPr>
          <w:rFonts w:ascii="Arial" w:cs="Arial" w:eastAsia="Arial" w:hAnsi="Arial"/>
          <w:sz w:val="20"/>
          <w:szCs w:val="20"/>
          <w:color w:val="auto"/>
        </w:rPr>
        <w:t>”);</w:t>
      </w:r>
    </w:p>
    <w:p>
      <w:pPr>
        <w:spacing w:after="0" w:line="191" w:lineRule="exact"/>
        <w:rPr>
          <w:sz w:val="20"/>
          <w:szCs w:val="20"/>
          <w:color w:val="auto"/>
        </w:rPr>
      </w:pPr>
    </w:p>
    <w:p>
      <w:pPr>
        <w:jc w:val="both"/>
        <w:ind w:left="200" w:right="219" w:firstLine="1296"/>
        <w:spacing w:after="0" w:line="260" w:lineRule="auto"/>
        <w:rPr>
          <w:sz w:val="20"/>
          <w:szCs w:val="20"/>
          <w:color w:val="auto"/>
        </w:rPr>
      </w:pPr>
      <w:r>
        <w:rPr>
          <w:rFonts w:ascii="Arial" w:cs="Arial" w:eastAsia="Arial" w:hAnsi="Arial"/>
          <w:sz w:val="19"/>
          <w:szCs w:val="19"/>
          <w:color w:val="auto"/>
        </w:rPr>
        <w:t>WHEREAS, certain terms of the License Agreement were modified as set forth in that certain First Amendment to the License Agreement dated as of March 23, 2021, by and between CDI and Century (“</w:t>
      </w:r>
      <w:r>
        <w:rPr>
          <w:rFonts w:ascii="Arial" w:cs="Arial" w:eastAsia="Arial" w:hAnsi="Arial"/>
          <w:sz w:val="19"/>
          <w:szCs w:val="19"/>
          <w:b w:val="1"/>
          <w:bCs w:val="1"/>
          <w:color w:val="auto"/>
        </w:rPr>
        <w:t>First Amendment</w:t>
      </w:r>
      <w:r>
        <w:rPr>
          <w:rFonts w:ascii="Arial" w:cs="Arial" w:eastAsia="Arial" w:hAnsi="Arial"/>
          <w:sz w:val="19"/>
          <w:szCs w:val="19"/>
          <w:color w:val="auto"/>
        </w:rPr>
        <w:t>”) and, with respect to the BMS Collaboration Agreement (as defined in such letter agreement), as set forth in a certain letter agreement effective as of January 7, 2022 between Century and CDI (the “</w:t>
      </w:r>
      <w:r>
        <w:rPr>
          <w:rFonts w:ascii="Arial" w:cs="Arial" w:eastAsia="Arial" w:hAnsi="Arial"/>
          <w:sz w:val="19"/>
          <w:szCs w:val="19"/>
          <w:b w:val="1"/>
          <w:bCs w:val="1"/>
          <w:color w:val="auto"/>
        </w:rPr>
        <w:t>BMS Collaboration Letter Agreement</w:t>
      </w:r>
      <w:r>
        <w:rPr>
          <w:rFonts w:ascii="Arial" w:cs="Arial" w:eastAsia="Arial" w:hAnsi="Arial"/>
          <w:sz w:val="19"/>
          <w:szCs w:val="19"/>
          <w:color w:val="auto"/>
        </w:rPr>
        <w:t>”);</w:t>
      </w:r>
    </w:p>
    <w:p>
      <w:pPr>
        <w:spacing w:after="0" w:line="180" w:lineRule="exact"/>
        <w:rPr>
          <w:sz w:val="20"/>
          <w:szCs w:val="20"/>
          <w:color w:val="auto"/>
        </w:rPr>
      </w:pPr>
    </w:p>
    <w:p>
      <w:pPr>
        <w:jc w:val="both"/>
        <w:ind w:left="200" w:right="219" w:firstLine="1296"/>
        <w:spacing w:after="0" w:line="250" w:lineRule="auto"/>
        <w:rPr>
          <w:sz w:val="20"/>
          <w:szCs w:val="20"/>
          <w:color w:val="auto"/>
        </w:rPr>
      </w:pPr>
      <w:r>
        <w:rPr>
          <w:rFonts w:ascii="Arial" w:cs="Arial" w:eastAsia="Arial" w:hAnsi="Arial"/>
          <w:sz w:val="20"/>
          <w:szCs w:val="20"/>
          <w:color w:val="auto"/>
        </w:rPr>
        <w:t>WHEREAS, pursuant to, and in accordance with, Section 10.6 of the License Agreement, Century and CDI desire that the License Agreement, as modified by the WARF Side Letter, be amended as set forth herein.</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THEREFORE, in consideration of the mutual covenants and conditions set forth in this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Second Amendment, it is agreed as follows:</w:t>
      </w:r>
    </w:p>
    <w:p>
      <w:pPr>
        <w:spacing w:after="0" w:line="200" w:lineRule="exact"/>
        <w:rPr>
          <w:sz w:val="20"/>
          <w:szCs w:val="20"/>
          <w:color w:val="auto"/>
        </w:rPr>
      </w:pPr>
    </w:p>
    <w:p>
      <w:pPr>
        <w:ind w:left="860" w:hanging="651"/>
        <w:spacing w:after="0"/>
        <w:tabs>
          <w:tab w:leader="none" w:pos="86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Amendment Fee</w:t>
      </w:r>
      <w:r>
        <w:rPr>
          <w:rFonts w:ascii="Arial" w:cs="Arial" w:eastAsia="Arial" w:hAnsi="Arial"/>
          <w:sz w:val="20"/>
          <w:szCs w:val="20"/>
          <w:color w:val="auto"/>
        </w:rPr>
        <w:t>.</w:t>
      </w:r>
    </w:p>
    <w:p>
      <w:pPr>
        <w:spacing w:after="0" w:line="216"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In consideration of this amendment, Century agrees to pay CDI a nonrefundable license fee of [***] within [***] days of the Second Amendment Effective Date. Such payment is not subject to any future performance by either Party under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545211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1" w:name="page52"/>
    <w:bookmarkEnd w:id="51"/>
    <w:p>
      <w:pPr>
        <w:ind w:left="860" w:hanging="651"/>
        <w:spacing w:after="0"/>
        <w:tabs>
          <w:tab w:leader="none" w:pos="86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Amendments to the License Agreement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60"/>
        <w:spacing w:after="0"/>
        <w:rPr>
          <w:rFonts w:ascii="Arial" w:cs="Arial" w:eastAsia="Arial" w:hAnsi="Arial"/>
          <w:sz w:val="20"/>
          <w:szCs w:val="20"/>
          <w:color w:val="auto"/>
        </w:rPr>
      </w:pPr>
      <w:r>
        <w:rPr>
          <w:rFonts w:ascii="Arial" w:cs="Arial" w:eastAsia="Arial" w:hAnsi="Arial"/>
          <w:sz w:val="20"/>
          <w:szCs w:val="20"/>
          <w:color w:val="auto"/>
        </w:rPr>
        <w:t>2.1</w:t>
      </w:r>
      <w:r>
        <w:rPr>
          <w:rFonts w:ascii="Arial" w:cs="Arial" w:eastAsia="Arial" w:hAnsi="Arial"/>
          <w:sz w:val="16"/>
          <w:szCs w:val="16"/>
          <w:color w:val="auto"/>
        </w:rPr>
        <w:t>Section 1.16 of the License Agreement shall be amended and restated as follows:</w:t>
      </w:r>
    </w:p>
    <w:p>
      <w:pPr>
        <w:spacing w:after="0" w:line="210" w:lineRule="exact"/>
        <w:rPr>
          <w:sz w:val="20"/>
          <w:szCs w:val="20"/>
          <w:color w:val="auto"/>
        </w:rPr>
      </w:pPr>
    </w:p>
    <w:p>
      <w:pPr>
        <w:jc w:val="both"/>
        <w:ind w:left="1500" w:right="21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Development Plan</w:t>
      </w:r>
      <w:r>
        <w:rPr>
          <w:rFonts w:ascii="Arial" w:cs="Arial" w:eastAsia="Arial" w:hAnsi="Arial"/>
          <w:sz w:val="20"/>
          <w:szCs w:val="20"/>
          <w:color w:val="auto"/>
        </w:rPr>
        <w:t>” has the meaning set forth in Section 3.3 of the Exclusive Differentiation License Agreement.</w:t>
      </w:r>
    </w:p>
    <w:p>
      <w:pPr>
        <w:spacing w:after="0" w:line="169"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Section 1.18 of the License Agreement formerly including the definition of “Differentiation</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License Agreement” shall be amended and restated as follows:</w:t>
      </w:r>
    </w:p>
    <w:p>
      <w:pPr>
        <w:spacing w:after="0" w:line="200" w:lineRule="exact"/>
        <w:rPr>
          <w:sz w:val="20"/>
          <w:szCs w:val="20"/>
          <w:color w:val="auto"/>
        </w:rPr>
      </w:pPr>
    </w:p>
    <w:p>
      <w:pPr>
        <w:jc w:val="both"/>
        <w:ind w:left="1500" w:right="219"/>
        <w:spacing w:after="0" w:line="269" w:lineRule="auto"/>
        <w:rPr>
          <w:sz w:val="20"/>
          <w:szCs w:val="20"/>
          <w:color w:val="auto"/>
        </w:rPr>
      </w:pPr>
      <w:r>
        <w:rPr>
          <w:rFonts w:ascii="Arial" w:cs="Arial" w:eastAsia="Arial" w:hAnsi="Arial"/>
          <w:sz w:val="19"/>
          <w:szCs w:val="19"/>
          <w:color w:val="auto"/>
        </w:rPr>
        <w:t>“The definition of “Differentiation License Agreement” is hereby intentionally omitted and the references to “Differentiation License Agreement” in Section 2.8(c) and Section 3.4 are hereby amended to “Exclusive Differentiation License Agreement.”</w:t>
      </w:r>
    </w:p>
    <w:p>
      <w:pPr>
        <w:spacing w:after="0" w:line="170"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color w:val="auto"/>
        </w:rPr>
        <w:t>Section 1.24 of the License Agreement shall be amended and restated as follows:</w:t>
      </w:r>
    </w:p>
    <w:p>
      <w:pPr>
        <w:spacing w:after="0" w:line="21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Field</w:t>
      </w:r>
      <w:r>
        <w:rPr>
          <w:rFonts w:ascii="Arial" w:cs="Arial" w:eastAsia="Arial" w:hAnsi="Arial"/>
          <w:sz w:val="20"/>
          <w:szCs w:val="20"/>
          <w:color w:val="auto"/>
        </w:rPr>
        <w:t>” means (i) the Cancer Field and (ii) the Immunology Field.</w:t>
      </w:r>
    </w:p>
    <w:p>
      <w:pPr>
        <w:spacing w:after="0" w:line="222"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color w:val="auto"/>
        </w:rPr>
        <w:t>Section 1.36 of the License Agreement shall be amended and restated as follows:</w:t>
      </w:r>
    </w:p>
    <w:p>
      <w:pPr>
        <w:spacing w:after="0" w:line="21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Licensed Product</w:t>
      </w:r>
      <w:r>
        <w:rPr>
          <w:rFonts w:ascii="Arial" w:cs="Arial" w:eastAsia="Arial" w:hAnsi="Arial"/>
          <w:sz w:val="20"/>
          <w:szCs w:val="20"/>
          <w:color w:val="auto"/>
        </w:rPr>
        <w:t>” means (i) Cancer Products and (ii) Immunology Products.</w:t>
      </w:r>
    </w:p>
    <w:p>
      <w:pPr>
        <w:spacing w:after="0" w:line="222"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Section 1.51 of the License Agreement shall be amended and restated as follows:</w:t>
      </w:r>
    </w:p>
    <w:p>
      <w:pPr>
        <w:spacing w:after="0" w:line="210" w:lineRule="exact"/>
        <w:rPr>
          <w:sz w:val="20"/>
          <w:szCs w:val="20"/>
          <w:color w:val="auto"/>
        </w:rPr>
      </w:pPr>
    </w:p>
    <w:p>
      <w:pPr>
        <w:jc w:val="both"/>
        <w:ind w:left="1500" w:right="21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Territory</w:t>
      </w:r>
      <w:r>
        <w:rPr>
          <w:rFonts w:ascii="Arial" w:cs="Arial" w:eastAsia="Arial" w:hAnsi="Arial"/>
          <w:sz w:val="20"/>
          <w:szCs w:val="20"/>
          <w:color w:val="auto"/>
        </w:rPr>
        <w:t xml:space="preserve">” means (i) with respect to the Cancer Field, worldwide, excluding Japan and any country(ies) eliminated from the Territory pursuant to </w:t>
      </w:r>
      <w:r>
        <w:rPr>
          <w:rFonts w:ascii="Arial" w:cs="Arial" w:eastAsia="Arial" w:hAnsi="Arial"/>
          <w:sz w:val="20"/>
          <w:szCs w:val="20"/>
          <w:u w:val="single" w:color="auto"/>
          <w:color w:val="auto"/>
        </w:rPr>
        <w:t>Section 9.6</w:t>
      </w:r>
      <w:r>
        <w:rPr>
          <w:rFonts w:ascii="Arial" w:cs="Arial" w:eastAsia="Arial" w:hAnsi="Arial"/>
          <w:sz w:val="20"/>
          <w:szCs w:val="20"/>
          <w:color w:val="auto"/>
        </w:rPr>
        <w:t xml:space="preserve">; and (ii) with respect to the Immunology Field, worldwide, excluding any country(ies) eliminated from the Territory pursuant to </w:t>
      </w:r>
      <w:r>
        <w:rPr>
          <w:rFonts w:ascii="Arial" w:cs="Arial" w:eastAsia="Arial" w:hAnsi="Arial"/>
          <w:sz w:val="20"/>
          <w:szCs w:val="20"/>
          <w:u w:val="single" w:color="auto"/>
          <w:color w:val="auto"/>
        </w:rPr>
        <w:t>Section 9.6</w:t>
      </w:r>
      <w:r>
        <w:rPr>
          <w:rFonts w:ascii="Arial" w:cs="Arial" w:eastAsia="Arial" w:hAnsi="Arial"/>
          <w:sz w:val="20"/>
          <w:szCs w:val="20"/>
          <w:color w:val="auto"/>
        </w:rPr>
        <w:t>.</w:t>
      </w:r>
    </w:p>
    <w:p>
      <w:pPr>
        <w:spacing w:after="0" w:line="189"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0"/>
          <w:szCs w:val="20"/>
          <w:color w:val="auto"/>
        </w:rPr>
        <w:t>2.6 After giving effect to the amendments contemplated in Sections 2.1, 2.2, 2.3, 2.4 and 2.5 above, Article 1 of the License Agreement shall be amended to add the following definitions, in appropriate alphabetical and numerical order, and the section numbers of Article 1 of the License Agreement and all cross references thereto in the License Agreement are hereby updated to reflect the addition of such defined terms:</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Cancer Field</w:t>
      </w:r>
      <w:r>
        <w:rPr>
          <w:rFonts w:ascii="Arial" w:cs="Arial" w:eastAsia="Arial" w:hAnsi="Arial"/>
          <w:sz w:val="20"/>
          <w:szCs w:val="20"/>
          <w:color w:val="auto"/>
        </w:rPr>
        <w:t>” means any cancer immunotherapeutic use in humans.</w:t>
      </w:r>
    </w:p>
    <w:p>
      <w:pPr>
        <w:spacing w:after="0" w:line="216" w:lineRule="exact"/>
        <w:rPr>
          <w:sz w:val="20"/>
          <w:szCs w:val="20"/>
          <w:color w:val="auto"/>
        </w:rPr>
      </w:pPr>
    </w:p>
    <w:p>
      <w:pPr>
        <w:jc w:val="both"/>
        <w:ind w:left="200" w:right="219"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Cancer Products</w:t>
      </w:r>
      <w:r>
        <w:rPr>
          <w:rFonts w:ascii="Arial" w:cs="Arial" w:eastAsia="Arial" w:hAnsi="Arial"/>
          <w:sz w:val="18"/>
          <w:szCs w:val="18"/>
          <w:color w:val="auto"/>
        </w:rPr>
        <w:t>” means cancer immunotherapy products (for the treatment of cancer in humans) consisting of cells that are or are modifications of T cells, NK cells, dendritic cells, macrophages, and monocytes derived from human iPSC (including TiPSC). For the sake of clarity, such “modifications” exclude materials or substances extracted, isolated from, or secreted by, such modified or unmodified cells.</w:t>
      </w:r>
    </w:p>
    <w:p>
      <w:pPr>
        <w:spacing w:after="0" w:line="151" w:lineRule="exact"/>
        <w:rPr>
          <w:sz w:val="20"/>
          <w:szCs w:val="20"/>
          <w:color w:val="auto"/>
        </w:rPr>
      </w:pPr>
    </w:p>
    <w:p>
      <w:pPr>
        <w:jc w:val="both"/>
        <w:ind w:left="200" w:right="219"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Exclusive Differentiation License Agreement</w:t>
      </w:r>
      <w:r>
        <w:rPr>
          <w:rFonts w:ascii="Arial" w:cs="Arial" w:eastAsia="Arial" w:hAnsi="Arial"/>
          <w:sz w:val="18"/>
          <w:szCs w:val="18"/>
          <w:color w:val="auto"/>
        </w:rPr>
        <w:t>” means a certain agreement entered into between the Parties on Effective Date under which CDI grants an exclusive license to Century under certain patent rights and know-how related to human iPSC-derived T cells, NK cells, dendritic cells, macrophages and monocytes under the terms and conditions set forth therein and as may be amended.</w:t>
      </w:r>
    </w:p>
    <w:p>
      <w:pPr>
        <w:spacing w:after="0" w:line="151" w:lineRule="exact"/>
        <w:rPr>
          <w:sz w:val="20"/>
          <w:szCs w:val="20"/>
          <w:color w:val="auto"/>
        </w:rPr>
      </w:pPr>
    </w:p>
    <w:p>
      <w:pPr>
        <w:jc w:val="both"/>
        <w:ind w:left="200" w:right="219"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Immunology Field</w:t>
      </w:r>
      <w:r>
        <w:rPr>
          <w:rFonts w:ascii="Arial" w:cs="Arial" w:eastAsia="Arial" w:hAnsi="Arial"/>
          <w:sz w:val="20"/>
          <w:szCs w:val="20"/>
          <w:color w:val="auto"/>
        </w:rPr>
        <w:t>” means any immunotherapeutic use for immune-mediated inflammatory diseases, including autoimmune diseases, in humans, other than cancer immunotherapeutic use.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2" w:right="1440" w:bottom="1440" w:gutter="0" w:footer="0" w:header="0"/>
        </w:sectPr>
      </w:pPr>
    </w:p>
    <w:bookmarkStart w:id="52" w:name="page53"/>
    <w:bookmarkEnd w:id="52"/>
    <w:p>
      <w:pPr>
        <w:jc w:val="both"/>
        <w:ind w:left="200" w:right="219" w:firstLine="129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Immunology Products</w:t>
      </w:r>
      <w:r>
        <w:rPr>
          <w:rFonts w:ascii="Arial" w:cs="Arial" w:eastAsia="Arial" w:hAnsi="Arial"/>
          <w:sz w:val="18"/>
          <w:szCs w:val="18"/>
          <w:color w:val="auto"/>
        </w:rPr>
        <w:t>” means immunotherapy products (for the treatment of immune-mediated inflammatory diseases, including autoimmune diseases, other than cancer in humans) consisting of cells that are or are modifications of T cells, NK cells, dendritic cells, macrophages, and monocytes derived from human iPSC (including TiPSC). For the sake of clarity, such “modifications” exclude materials or substances extracted, isolated from, or secreted by, such modified or unmodified cells.</w:t>
      </w:r>
    </w:p>
    <w:p>
      <w:pPr>
        <w:spacing w:after="0" w:line="156" w:lineRule="exact"/>
        <w:rPr>
          <w:sz w:val="20"/>
          <w:szCs w:val="20"/>
          <w:color w:val="auto"/>
        </w:rPr>
      </w:pPr>
    </w:p>
    <w:p>
      <w:pPr>
        <w:jc w:val="both"/>
        <w:ind w:left="200" w:right="219"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Non-Exclusive Differentiation License Agreement</w:t>
      </w:r>
      <w:r>
        <w:rPr>
          <w:rFonts w:ascii="Arial" w:cs="Arial" w:eastAsia="Arial" w:hAnsi="Arial"/>
          <w:sz w:val="18"/>
          <w:szCs w:val="18"/>
          <w:color w:val="auto"/>
        </w:rPr>
        <w:t>” means a certain agreement entered into between the Parties on September 22, 2023 under which CDI grants a non-exclusive license to Century under certain patent rights and know-how related to human iPSC-derived T cells, NK cells, dendritic cells, macrophages and monocytes under the terms and conditions set forth therein and as may be amended.</w:t>
      </w:r>
    </w:p>
    <w:p>
      <w:pPr>
        <w:spacing w:after="0" w:line="157"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color w:val="auto"/>
        </w:rPr>
        <w:t>Section 2.2 of the License Agreement shall be amended and restated as follows:</w:t>
      </w:r>
    </w:p>
    <w:p>
      <w:pPr>
        <w:spacing w:after="0" w:line="216" w:lineRule="exact"/>
        <w:rPr>
          <w:sz w:val="20"/>
          <w:szCs w:val="20"/>
          <w:color w:val="auto"/>
        </w:rPr>
      </w:pPr>
    </w:p>
    <w:p>
      <w:pPr>
        <w:jc w:val="both"/>
        <w:ind w:left="200" w:right="219" w:firstLine="1296"/>
        <w:spacing w:after="0" w:line="250"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License Grants to CDI</w:t>
      </w:r>
      <w:r>
        <w:rPr>
          <w:rFonts w:ascii="Arial" w:cs="Arial" w:eastAsia="Arial" w:hAnsi="Arial"/>
          <w:sz w:val="20"/>
          <w:szCs w:val="20"/>
          <w:color w:val="auto"/>
        </w:rPr>
        <w:t>. Subject to the terms and conditions of this Agreement, Century (on behalf of itself and its Affiliates) hereby grants to, and will require its Sublicensee(s) to grant, to CDI the following licenses and options:</w:t>
      </w:r>
    </w:p>
    <w:p>
      <w:pPr>
        <w:spacing w:after="0" w:line="186" w:lineRule="exact"/>
        <w:rPr>
          <w:sz w:val="20"/>
          <w:szCs w:val="20"/>
          <w:color w:val="auto"/>
        </w:rPr>
      </w:pPr>
    </w:p>
    <w:p>
      <w:pPr>
        <w:jc w:val="both"/>
        <w:ind w:left="200" w:right="219" w:firstLine="1305"/>
        <w:spacing w:after="0" w:line="244" w:lineRule="auto"/>
        <w:tabs>
          <w:tab w:leader="none" w:pos="2144"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world-wide, non-exclusive, royalty-free, irrevocable, paid-up license, with the right to grant sublicenses, to WARF, the University of Wisconsin, the WiCell Research Institute and the Morgridge Institute for Research, to make, have made, use and otherwise practice Developments for Non-Commercial Research Purposes in organizations associated with either WARF or the University of Wisconsin;</w:t>
      </w:r>
    </w:p>
    <w:p>
      <w:pPr>
        <w:spacing w:after="0" w:line="194" w:lineRule="exact"/>
        <w:rPr>
          <w:rFonts w:ascii="Arial" w:cs="Arial" w:eastAsia="Arial" w:hAnsi="Arial"/>
          <w:sz w:val="20"/>
          <w:szCs w:val="20"/>
          <w:color w:val="auto"/>
        </w:rPr>
      </w:pPr>
    </w:p>
    <w:p>
      <w:pPr>
        <w:jc w:val="both"/>
        <w:ind w:left="200" w:right="219" w:firstLine="1305"/>
        <w:spacing w:after="0" w:line="278" w:lineRule="auto"/>
        <w:tabs>
          <w:tab w:leader="none" w:pos="21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 non-exclusive, non-transferable (except in accordance with </w:t>
      </w:r>
      <w:r>
        <w:rPr>
          <w:rFonts w:ascii="Arial" w:cs="Arial" w:eastAsia="Arial" w:hAnsi="Arial"/>
          <w:sz w:val="18"/>
          <w:szCs w:val="18"/>
          <w:u w:val="single" w:color="auto"/>
          <w:color w:val="auto"/>
        </w:rPr>
        <w:t>Section 10.3</w:t>
      </w:r>
      <w:r>
        <w:rPr>
          <w:rFonts w:ascii="Arial" w:cs="Arial" w:eastAsia="Arial" w:hAnsi="Arial"/>
          <w:sz w:val="18"/>
          <w:szCs w:val="18"/>
          <w:color w:val="auto"/>
        </w:rPr>
        <w:t>), fully paid-up, sublicensable (with the ability to sublicense through multiple tiers) license (i) to make, have made, use and otherwise practice Developments made by Century or its Affiliates or Sublicensees in the Cancer Field outside the Territory or within the Territory in connection with Abandoned Indication and (ii) to practice Developments to manufacture the Licensed Products in the Field worldwide; and</w:t>
      </w:r>
    </w:p>
    <w:p>
      <w:pPr>
        <w:spacing w:after="0" w:line="164" w:lineRule="exact"/>
        <w:rPr>
          <w:rFonts w:ascii="Arial" w:cs="Arial" w:eastAsia="Arial" w:hAnsi="Arial"/>
          <w:sz w:val="18"/>
          <w:szCs w:val="18"/>
          <w:color w:val="auto"/>
        </w:rPr>
      </w:pPr>
    </w:p>
    <w:p>
      <w:pPr>
        <w:jc w:val="both"/>
        <w:ind w:left="200" w:right="219" w:firstLine="1305"/>
        <w:spacing w:after="0" w:line="244" w:lineRule="auto"/>
        <w:tabs>
          <w:tab w:leader="none" w:pos="2144"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a fully paid-up, non-exclusive, non-transferable (except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10,3)</w:t>
      </w:r>
      <w:r>
        <w:rPr>
          <w:rFonts w:ascii="Arial" w:cs="Arial" w:eastAsia="Arial" w:hAnsi="Arial"/>
          <w:sz w:val="20"/>
          <w:szCs w:val="20"/>
          <w:color w:val="auto"/>
        </w:rPr>
        <w:t xml:space="preserve">, sublicensable (with limitation as set forth in </w:t>
      </w:r>
      <w:r>
        <w:rPr>
          <w:rFonts w:ascii="Arial" w:cs="Arial" w:eastAsia="Arial" w:hAnsi="Arial"/>
          <w:sz w:val="20"/>
          <w:szCs w:val="20"/>
          <w:u w:val="single" w:color="auto"/>
          <w:color w:val="auto"/>
        </w:rPr>
        <w:t>Section 2.3(d))</w:t>
      </w:r>
      <w:r>
        <w:rPr>
          <w:rFonts w:ascii="Arial" w:cs="Arial" w:eastAsia="Arial" w:hAnsi="Arial"/>
          <w:sz w:val="20"/>
          <w:szCs w:val="20"/>
          <w:color w:val="auto"/>
        </w:rPr>
        <w:t xml:space="preserve"> worldwide license under the Century Licensed Technology to make, have made, use, and have used, research and develop iPSC(s) (including TiPSC(s)), Reprogrammed iPS Cells or Reprogrammed iPS Cell Derivative Materials), whether inside or outside of the Field, and</w:t>
      </w:r>
    </w:p>
    <w:p>
      <w:pPr>
        <w:spacing w:after="0" w:line="194" w:lineRule="exact"/>
        <w:rPr>
          <w:rFonts w:ascii="Arial" w:cs="Arial" w:eastAsia="Arial" w:hAnsi="Arial"/>
          <w:sz w:val="20"/>
          <w:szCs w:val="20"/>
          <w:color w:val="auto"/>
        </w:rPr>
      </w:pPr>
    </w:p>
    <w:p>
      <w:pPr>
        <w:jc w:val="both"/>
        <w:ind w:left="200" w:right="219" w:firstLine="1305"/>
        <w:spacing w:after="0" w:line="273" w:lineRule="auto"/>
        <w:tabs>
          <w:tab w:leader="none" w:pos="21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an option to obtain a non-exclusive, non-transferable (except in accordance with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sublicensable (with the ability to sublicense through multiple tiers) license, under Intellectual Property Rights that are owned or controlled by a Third Party and licensed to Century or its Affiliate to Exploit the Licensed Products in the Cancer Field outside the Territory or within the Territory in connection with the Abandoned Indication,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in the event Century or its Affiliates or Subcontractors are required to pay royalty for its sublicense to CDI and its Sublicensees the Parties will agree on an equitable apportionment of any royalty between the Parties to reflect the fair value attributable to the use of such Intellectual Property Rights for the Exploitation of the Licensed Products in each Party’s territory.”</w:t>
      </w:r>
    </w:p>
    <w:p>
      <w:pPr>
        <w:spacing w:after="0" w:line="168" w:lineRule="exact"/>
        <w:rPr>
          <w:sz w:val="20"/>
          <w:szCs w:val="20"/>
          <w:color w:val="auto"/>
        </w:rPr>
      </w:pPr>
    </w:p>
    <w:p>
      <w:pPr>
        <w:ind w:left="200" w:right="759" w:firstLine="9"/>
        <w:spacing w:after="0" w:line="287" w:lineRule="auto"/>
        <w:tabs>
          <w:tab w:leader="none" w:pos="848"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Pursuant to, and in accordance with Section 10.2 of the License Agreement, as of the Second Amendment Effective Date, each Party’s contact information is as follows:</w:t>
      </w:r>
    </w:p>
    <w:p>
      <w:pPr>
        <w:spacing w:after="0" w:line="15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If to CDI:</w:t>
      </w:r>
    </w:p>
    <w:p>
      <w:pPr>
        <w:spacing w:after="0" w:line="216"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FUJIFILM Cellular Dynamics, Inc.</w:t>
      </w:r>
    </w:p>
    <w:p>
      <w:pPr>
        <w:spacing w:after="0" w:line="16"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465 Science Drive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3" w:name="page54"/>
    <w:bookmarkEnd w:id="53"/>
    <w:p>
      <w:pPr>
        <w:ind w:left="2160"/>
        <w:spacing w:after="0"/>
        <w:rPr>
          <w:sz w:val="20"/>
          <w:szCs w:val="20"/>
          <w:color w:val="auto"/>
        </w:rPr>
      </w:pPr>
      <w:r>
        <w:rPr>
          <w:rFonts w:ascii="Arial" w:cs="Arial" w:eastAsia="Arial" w:hAnsi="Arial"/>
          <w:sz w:val="20"/>
          <w:szCs w:val="20"/>
          <w:color w:val="auto"/>
        </w:rPr>
        <w:t>Madison, WI 53711</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Attention: Director, Intellectual Property</w:t>
      </w:r>
    </w:p>
    <w:p>
      <w:pPr>
        <w:ind w:left="2160"/>
        <w:spacing w:after="0"/>
        <w:rPr>
          <w:sz w:val="20"/>
          <w:szCs w:val="20"/>
          <w:color w:val="auto"/>
        </w:rPr>
      </w:pPr>
      <w:r>
        <w:rPr>
          <w:rFonts w:ascii="Arial" w:cs="Arial" w:eastAsia="Arial" w:hAnsi="Arial"/>
          <w:sz w:val="20"/>
          <w:szCs w:val="20"/>
          <w:color w:val="auto"/>
        </w:rPr>
        <w:t>Email: fcdi-licensing@cellulardynamics.com</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FUJIFILM Cellular Dynamics, Inc.</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465 Science Drive</w:t>
      </w:r>
    </w:p>
    <w:p>
      <w:pPr>
        <w:ind w:left="2160"/>
        <w:spacing w:after="0"/>
        <w:rPr>
          <w:sz w:val="20"/>
          <w:szCs w:val="20"/>
          <w:color w:val="auto"/>
        </w:rPr>
      </w:pPr>
      <w:r>
        <w:rPr>
          <w:rFonts w:ascii="Arial" w:cs="Arial" w:eastAsia="Arial" w:hAnsi="Arial"/>
          <w:sz w:val="20"/>
          <w:szCs w:val="20"/>
          <w:color w:val="auto"/>
        </w:rPr>
        <w:t>Madison, WI 53711</w:t>
      </w:r>
    </w:p>
    <w:p>
      <w:pPr>
        <w:ind w:left="2160"/>
        <w:spacing w:after="0"/>
        <w:rPr>
          <w:sz w:val="20"/>
          <w:szCs w:val="20"/>
          <w:color w:val="auto"/>
        </w:rPr>
      </w:pPr>
      <w:r>
        <w:rPr>
          <w:rFonts w:ascii="Arial" w:cs="Arial" w:eastAsia="Arial" w:hAnsi="Arial"/>
          <w:sz w:val="20"/>
          <w:szCs w:val="20"/>
          <w:color w:val="auto"/>
        </w:rPr>
        <w:t>Attention: General Counsel</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Email: legaldepartment@fujifilm.com If to Century:</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Century Therapeutics, Inc.</w:t>
      </w:r>
    </w:p>
    <w:p>
      <w:pPr>
        <w:spacing w:after="0" w:line="128"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25 N. 38</w:t>
      </w:r>
      <w:r>
        <w:rPr>
          <w:rFonts w:ascii="Arial" w:cs="Arial" w:eastAsia="Arial" w:hAnsi="Arial"/>
          <w:sz w:val="29"/>
          <w:szCs w:val="29"/>
          <w:color w:val="auto"/>
          <w:vertAlign w:val="superscript"/>
        </w:rPr>
        <w:t>th</w:t>
      </w:r>
      <w:r>
        <w:rPr>
          <w:rFonts w:ascii="Arial" w:cs="Arial" w:eastAsia="Arial" w:hAnsi="Arial"/>
          <w:sz w:val="20"/>
          <w:szCs w:val="20"/>
          <w:color w:val="auto"/>
        </w:rPr>
        <w:t xml:space="preserve"> Street, 11</w:t>
      </w:r>
      <w:r>
        <w:rPr>
          <w:rFonts w:ascii="Arial" w:cs="Arial" w:eastAsia="Arial" w:hAnsi="Arial"/>
          <w:sz w:val="29"/>
          <w:szCs w:val="29"/>
          <w:color w:val="auto"/>
          <w:vertAlign w:val="superscript"/>
        </w:rPr>
        <w:t>th</w:t>
      </w:r>
      <w:r>
        <w:rPr>
          <w:rFonts w:ascii="Arial" w:cs="Arial" w:eastAsia="Arial" w:hAnsi="Arial"/>
          <w:sz w:val="20"/>
          <w:szCs w:val="20"/>
          <w:color w:val="auto"/>
        </w:rPr>
        <w:t xml:space="preserve"> Floor</w:t>
      </w:r>
    </w:p>
    <w:p>
      <w:pPr>
        <w:ind w:left="2160"/>
        <w:spacing w:after="0"/>
        <w:rPr>
          <w:sz w:val="20"/>
          <w:szCs w:val="20"/>
          <w:color w:val="auto"/>
        </w:rPr>
      </w:pPr>
      <w:r>
        <w:rPr>
          <w:rFonts w:ascii="Arial" w:cs="Arial" w:eastAsia="Arial" w:hAnsi="Arial"/>
          <w:sz w:val="20"/>
          <w:szCs w:val="20"/>
          <w:color w:val="auto"/>
        </w:rPr>
        <w:t>Philadelphia, PA 19104</w:t>
      </w:r>
    </w:p>
    <w:p>
      <w:pPr>
        <w:ind w:left="2160"/>
        <w:spacing w:after="0"/>
        <w:rPr>
          <w:sz w:val="20"/>
          <w:szCs w:val="20"/>
          <w:color w:val="auto"/>
        </w:rPr>
      </w:pPr>
      <w:r>
        <w:rPr>
          <w:rFonts w:ascii="Arial" w:cs="Arial" w:eastAsia="Arial" w:hAnsi="Arial"/>
          <w:sz w:val="20"/>
          <w:szCs w:val="20"/>
          <w:color w:val="auto"/>
        </w:rPr>
        <w:t>Attention: General Counsel</w:t>
      </w:r>
    </w:p>
    <w:p>
      <w:pPr>
        <w:ind w:left="2160"/>
        <w:spacing w:after="0"/>
        <w:rPr>
          <w:sz w:val="20"/>
          <w:szCs w:val="20"/>
          <w:color w:val="auto"/>
        </w:rPr>
      </w:pPr>
      <w:r>
        <w:rPr>
          <w:rFonts w:ascii="Arial" w:cs="Arial" w:eastAsia="Arial" w:hAnsi="Arial"/>
          <w:sz w:val="20"/>
          <w:szCs w:val="20"/>
          <w:color w:val="auto"/>
        </w:rPr>
        <w:t>Email: legal@centurytx.com</w:t>
      </w:r>
    </w:p>
    <w:p>
      <w:pPr>
        <w:spacing w:after="0" w:line="200" w:lineRule="exact"/>
        <w:rPr>
          <w:sz w:val="20"/>
          <w:szCs w:val="20"/>
          <w:color w:val="auto"/>
        </w:rPr>
      </w:pPr>
    </w:p>
    <w:p>
      <w:pPr>
        <w:ind w:left="860" w:hanging="651"/>
        <w:spacing w:after="0"/>
        <w:tabs>
          <w:tab w:leader="none" w:pos="86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6"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Effect of this Second Amendment</w:t>
      </w:r>
      <w:r>
        <w:rPr>
          <w:rFonts w:ascii="Arial" w:cs="Arial" w:eastAsia="Arial" w:hAnsi="Arial"/>
          <w:sz w:val="19"/>
          <w:szCs w:val="19"/>
          <w:color w:val="auto"/>
        </w:rPr>
        <w:t>. This Second Amendment amends the terms of the License Agreement, as previously amended, and is deemed incorporated into, and governed by all other terms of, the License Agreement. To the extent that the License Agreement is explicitly amended by this Second Amendment, the terms of this Second Amendment will control where the terms of the License Agreement are contrary to or conflict with the terms of this Second Amendment. All other terms and conditions of the License Agreement not explicitly amended by this Second Amendment shall remain in full force and effect. The License Agreement shall, together with the First Amendment and this Second Amendment, be read and construed as a single instrument.</w:t>
      </w:r>
    </w:p>
    <w:p>
      <w:pPr>
        <w:spacing w:after="0" w:line="180"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WARF Side Letter</w:t>
      </w:r>
      <w:r>
        <w:rPr>
          <w:rFonts w:ascii="Arial" w:cs="Arial" w:eastAsia="Arial" w:hAnsi="Arial"/>
          <w:sz w:val="20"/>
          <w:szCs w:val="20"/>
          <w:color w:val="auto"/>
        </w:rPr>
        <w:t>. This Second Amendment does not, and is not intended to, amend, modify or supplement the terms of the WARF Side Letter, which remains in full force and effect. In the event of any conflict between the terms of the License Agreement, as amended by this Second Amendment, and the WARF Side Letter, the WARF Side Letter shall control.</w:t>
      </w:r>
    </w:p>
    <w:p>
      <w:pPr>
        <w:spacing w:after="0" w:line="191"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Counterparts</w:t>
      </w:r>
      <w:r>
        <w:rPr>
          <w:rFonts w:ascii="Arial" w:cs="Arial" w:eastAsia="Arial" w:hAnsi="Arial"/>
          <w:sz w:val="20"/>
          <w:szCs w:val="20"/>
          <w:color w:val="auto"/>
        </w:rPr>
        <w:t>. This Second Amendment may be signed in any number of counterparts, including facsimile copies thereof or electronic scan copies thereof delivered by electronic mail, each of which shall be deemed an original, with the same effect as if the signatures thereto and hereto were upon the same instrument.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2" w:right="1440" w:bottom="1440" w:gutter="0" w:footer="0" w:header="0"/>
        </w:sectPr>
      </w:pPr>
    </w:p>
    <w:bookmarkStart w:id="54" w:name="page55"/>
    <w:bookmarkEnd w:id="54"/>
    <w:p>
      <w:pPr>
        <w:ind w:left="200" w:right="219" w:firstLine="1296"/>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Second Amendment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Amendment Effective Date.</w:t>
      </w:r>
    </w:p>
    <w:p>
      <w:pPr>
        <w:spacing w:after="0" w:line="200" w:lineRule="exact"/>
        <w:rPr>
          <w:sz w:val="20"/>
          <w:szCs w:val="20"/>
          <w:color w:val="auto"/>
        </w:rPr>
      </w:pPr>
    </w:p>
    <w:p>
      <w:pPr>
        <w:spacing w:after="0" w:line="287"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CENTURY THERAPEUTICS, INC.</w:t>
      </w:r>
    </w:p>
    <w:p>
      <w:pPr>
        <w:spacing w:after="0" w:line="200" w:lineRule="exact"/>
        <w:rPr>
          <w:sz w:val="20"/>
          <w:szCs w:val="20"/>
          <w:color w:val="auto"/>
        </w:rPr>
      </w:pPr>
    </w:p>
    <w:p>
      <w:pPr>
        <w:spacing w:after="0" w:line="34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/s/Greg Russotti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-14605</wp:posOffset>
            </wp:positionV>
            <wp:extent cx="14331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33195" cy="8255"/>
                    </a:xfrm>
                    <a:prstGeom prst="rect">
                      <a:avLst/>
                    </a:prstGeom>
                    <a:noFill/>
                  </pic:spPr>
                </pic:pic>
              </a:graphicData>
            </a:graphic>
          </wp:anchor>
        </w:drawing>
      </w:r>
    </w:p>
    <w:p>
      <w:pPr>
        <w:ind w:left="4100"/>
        <w:spacing w:after="0"/>
        <w:tabs>
          <w:tab w:leader="none" w:pos="4800" w:val="left"/>
        </w:tabs>
        <w:rPr>
          <w:sz w:val="20"/>
          <w:szCs w:val="20"/>
          <w:color w:val="auto"/>
        </w:rPr>
      </w:pPr>
      <w:r>
        <w:rPr>
          <w:rFonts w:ascii="Arial" w:cs="Arial" w:eastAsia="Arial" w:hAnsi="Arial"/>
          <w:sz w:val="20"/>
          <w:szCs w:val="20"/>
          <w:color w:val="auto"/>
        </w:rPr>
        <w:t>Name:</w:t>
        <w:tab/>
        <w:t>Greg Russotti, Ph.D.</w:t>
      </w:r>
    </w:p>
    <w:p>
      <w:pPr>
        <w:ind w:left="4100"/>
        <w:spacing w:after="0"/>
        <w:tabs>
          <w:tab w:leader="none" w:pos="4800" w:val="left"/>
        </w:tabs>
        <w:rPr>
          <w:sz w:val="20"/>
          <w:szCs w:val="20"/>
          <w:color w:val="auto"/>
        </w:rPr>
      </w:pPr>
      <w:r>
        <w:rPr>
          <w:rFonts w:ascii="Arial" w:cs="Arial" w:eastAsia="Arial" w:hAnsi="Arial"/>
          <w:sz w:val="20"/>
          <w:szCs w:val="20"/>
          <w:color w:val="auto"/>
        </w:rPr>
        <w:t>Title:</w:t>
        <w:tab/>
        <w:t>Interim Chief Executive Officer</w:t>
      </w:r>
    </w:p>
    <w:p>
      <w:pPr>
        <w:spacing w:after="0" w:line="200" w:lineRule="exact"/>
        <w:rPr>
          <w:sz w:val="20"/>
          <w:szCs w:val="20"/>
          <w:color w:val="auto"/>
        </w:rPr>
      </w:pPr>
    </w:p>
    <w:p>
      <w:pPr>
        <w:spacing w:after="0" w:line="318"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FUJIFILM CELLULAR DYNAMICS INC.</w:t>
      </w:r>
    </w:p>
    <w:p>
      <w:pPr>
        <w:spacing w:after="0" w:line="200" w:lineRule="exact"/>
        <w:rPr>
          <w:sz w:val="20"/>
          <w:szCs w:val="20"/>
          <w:color w:val="auto"/>
        </w:rPr>
      </w:pPr>
    </w:p>
    <w:p>
      <w:pPr>
        <w:spacing w:after="0" w:line="34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/s/Tomoyuki Hasegawa​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-13970</wp:posOffset>
            </wp:positionV>
            <wp:extent cx="10636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ind w:left="4100"/>
        <w:spacing w:after="0"/>
        <w:tabs>
          <w:tab w:leader="none" w:pos="4800" w:val="left"/>
        </w:tabs>
        <w:rPr>
          <w:sz w:val="20"/>
          <w:szCs w:val="20"/>
          <w:color w:val="auto"/>
        </w:rPr>
      </w:pPr>
      <w:r>
        <w:rPr>
          <w:rFonts w:ascii="Arial" w:cs="Arial" w:eastAsia="Arial" w:hAnsi="Arial"/>
          <w:sz w:val="20"/>
          <w:szCs w:val="20"/>
          <w:color w:val="auto"/>
        </w:rPr>
        <w:t>Name:</w:t>
        <w:tab/>
        <w:t>Tomoyuki Hasegawa</w:t>
      </w:r>
    </w:p>
    <w:p>
      <w:pPr>
        <w:ind w:left="4100"/>
        <w:spacing w:after="0"/>
        <w:tabs>
          <w:tab w:leader="none" w:pos="4800" w:val="left"/>
        </w:tabs>
        <w:rPr>
          <w:sz w:val="20"/>
          <w:szCs w:val="20"/>
          <w:color w:val="auto"/>
        </w:rPr>
      </w:pPr>
      <w:r>
        <w:rPr>
          <w:rFonts w:ascii="Arial" w:cs="Arial" w:eastAsia="Arial" w:hAnsi="Arial"/>
          <w:sz w:val="20"/>
          <w:szCs w:val="20"/>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Amendment to License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5" w:name="page56"/>
    <w:bookmarkEnd w:id="55"/>
    <w:p>
      <w:pPr>
        <w:jc w:val="right"/>
        <w:ind w:right="219"/>
        <w:spacing w:after="0"/>
        <w:rPr>
          <w:sz w:val="20"/>
          <w:szCs w:val="20"/>
          <w:color w:val="auto"/>
        </w:rPr>
      </w:pPr>
      <w:r>
        <w:rPr>
          <w:rFonts w:ascii="Arial" w:cs="Arial" w:eastAsia="Arial" w:hAnsi="Arial"/>
          <w:sz w:val="22"/>
          <w:szCs w:val="22"/>
          <w:color w:val="auto"/>
        </w:rPr>
        <w:t>Execution Version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 NO.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MASTER COLLABORATION AGREEMENT</w:t>
      </w:r>
    </w:p>
    <w:p>
      <w:pPr>
        <w:spacing w:after="0" w:line="207" w:lineRule="exact"/>
        <w:rPr>
          <w:sz w:val="20"/>
          <w:szCs w:val="20"/>
          <w:color w:val="auto"/>
        </w:rPr>
      </w:pPr>
    </w:p>
    <w:p>
      <w:pPr>
        <w:ind w:left="200" w:right="239" w:firstLine="648"/>
        <w:spacing w:after="0" w:line="256" w:lineRule="auto"/>
        <w:rPr>
          <w:sz w:val="20"/>
          <w:szCs w:val="20"/>
          <w:color w:val="auto"/>
        </w:rPr>
      </w:pPr>
      <w:r>
        <w:rPr>
          <w:rFonts w:ascii="Arial" w:cs="Arial" w:eastAsia="Arial" w:hAnsi="Arial"/>
          <w:sz w:val="18"/>
          <w:szCs w:val="18"/>
          <w:b w:val="1"/>
          <w:bCs w:val="1"/>
          <w:color w:val="auto"/>
        </w:rPr>
        <w:t xml:space="preserve">THIS AMENDMENT NO. 5 TO MASTER COLLABORATION AGREEMENT </w:t>
      </w:r>
      <w:r>
        <w:rPr>
          <w:rFonts w:ascii="Arial" w:cs="Arial" w:eastAsia="Arial" w:hAnsi="Arial"/>
          <w:sz w:val="18"/>
          <w:szCs w:val="18"/>
          <w:color w:val="auto"/>
        </w:rPr>
        <w:t>(this “</w:t>
      </w:r>
      <w:r>
        <w:rPr>
          <w:rFonts w:ascii="Arial" w:cs="Arial" w:eastAsia="Arial" w:hAnsi="Arial"/>
          <w:sz w:val="18"/>
          <w:szCs w:val="18"/>
          <w:b w:val="1"/>
          <w:bCs w:val="1"/>
          <w:color w:val="auto"/>
        </w:rPr>
        <w:t>Amendment No. 5</w:t>
      </w:r>
      <w:r>
        <w:rPr>
          <w:rFonts w:ascii="Arial" w:cs="Arial" w:eastAsia="Arial" w:hAnsi="Arial"/>
          <w:sz w:val="18"/>
          <w:szCs w:val="18"/>
          <w:color w:val="auto"/>
        </w:rPr>
        <w:t>”) is made as of September 22, 2023 (the “</w:t>
      </w:r>
      <w:r>
        <w:rPr>
          <w:rFonts w:ascii="Arial" w:cs="Arial" w:eastAsia="Arial" w:hAnsi="Arial"/>
          <w:sz w:val="18"/>
          <w:szCs w:val="18"/>
          <w:b w:val="1"/>
          <w:bCs w:val="1"/>
          <w:color w:val="auto"/>
        </w:rPr>
        <w:t>Amendment No. 5 Effective Date</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CENTURY THERAPEUTICS, INC. </w:t>
      </w:r>
      <w:r>
        <w:rPr>
          <w:rFonts w:ascii="Arial" w:cs="Arial" w:eastAsia="Arial" w:hAnsi="Arial"/>
          <w:sz w:val="18"/>
          <w:szCs w:val="18"/>
          <w:color w:val="auto"/>
        </w:rPr>
        <w:t>(f/k/a Century Therapeutics, LLC) having a principal place of business at 3675 Market St.,</w:t>
      </w:r>
      <w:r>
        <w:rPr>
          <w:rFonts w:ascii="Arial" w:cs="Arial" w:eastAsia="Arial" w:hAnsi="Arial"/>
          <w:sz w:val="18"/>
          <w:szCs w:val="18"/>
          <w:b w:val="1"/>
          <w:bCs w:val="1"/>
          <w:color w:val="auto"/>
        </w:rPr>
        <w:t xml:space="preserve"> </w:t>
      </w:r>
      <w:r>
        <w:rPr>
          <w:rFonts w:ascii="Arial" w:cs="Arial" w:eastAsia="Arial" w:hAnsi="Arial"/>
          <w:sz w:val="18"/>
          <w:szCs w:val="18"/>
          <w:color w:val="auto"/>
        </w:rPr>
        <w:t>Philadelphia, PA 19104 USA (“</w:t>
      </w:r>
      <w:r>
        <w:rPr>
          <w:rFonts w:ascii="Arial" w:cs="Arial" w:eastAsia="Arial" w:hAnsi="Arial"/>
          <w:sz w:val="18"/>
          <w:szCs w:val="18"/>
          <w:b w:val="1"/>
          <w:bCs w:val="1"/>
          <w:color w:val="auto"/>
        </w:rPr>
        <w:t>Century</w:t>
      </w:r>
      <w:r>
        <w:rPr>
          <w:rFonts w:ascii="Arial" w:cs="Arial" w:eastAsia="Arial" w:hAnsi="Arial"/>
          <w:sz w:val="18"/>
          <w:szCs w:val="18"/>
          <w:color w:val="auto"/>
        </w:rPr>
        <w:t xml:space="preserve">”) and </w:t>
      </w:r>
      <w:r>
        <w:rPr>
          <w:rFonts w:ascii="Arial" w:cs="Arial" w:eastAsia="Arial" w:hAnsi="Arial"/>
          <w:sz w:val="18"/>
          <w:szCs w:val="18"/>
          <w:b w:val="1"/>
          <w:bCs w:val="1"/>
          <w:color w:val="auto"/>
        </w:rPr>
        <w:t>FUJIFILM Cellular Dynamics, Inc.</w:t>
      </w:r>
      <w:r>
        <w:rPr>
          <w:rFonts w:ascii="Arial" w:cs="Arial" w:eastAsia="Arial" w:hAnsi="Arial"/>
          <w:sz w:val="18"/>
          <w:szCs w:val="18"/>
          <w:color w:val="auto"/>
        </w:rPr>
        <w:t>, having a place of business at 525 Science Drive, Madison WI 53711, USA (“</w:t>
      </w:r>
      <w:r>
        <w:rPr>
          <w:rFonts w:ascii="Arial" w:cs="Arial" w:eastAsia="Arial" w:hAnsi="Arial"/>
          <w:sz w:val="18"/>
          <w:szCs w:val="18"/>
          <w:b w:val="1"/>
          <w:bCs w:val="1"/>
          <w:color w:val="auto"/>
        </w:rPr>
        <w:t>FCDI</w:t>
      </w:r>
      <w:r>
        <w:rPr>
          <w:rFonts w:ascii="Arial" w:cs="Arial" w:eastAsia="Arial" w:hAnsi="Arial"/>
          <w:sz w:val="18"/>
          <w:szCs w:val="18"/>
          <w:color w:val="auto"/>
        </w:rPr>
        <w:t>”). Century and FCDI are each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7" w:lineRule="exact"/>
        <w:rPr>
          <w:sz w:val="20"/>
          <w:szCs w:val="20"/>
          <w:color w:val="auto"/>
        </w:rPr>
      </w:pPr>
    </w:p>
    <w:p>
      <w:pPr>
        <w:ind w:left="200" w:right="359" w:firstLine="648"/>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Century and FCDI are parties to a certain Master Collaboration Agreement having a Signing</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October 21,2019, as amended by Amendment No. 1 having an Amendment No. 1 Signing Date of June 24, 2020, Amendment No. 2 having an Amendment No. 2 Signing Date of March 23, 2021, Amendment No. 3 having an Amendment No. 3 Signing Date of March 29, 2021, Amendment No. 4 having an Amendment No. 4 Signing Date of July 29,2022, and by a letter agreement dated as of March 7, 2022 (the or this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54" w:lineRule="exact"/>
        <w:rPr>
          <w:sz w:val="20"/>
          <w:szCs w:val="20"/>
          <w:color w:val="auto"/>
        </w:rPr>
      </w:pPr>
    </w:p>
    <w:p>
      <w:pPr>
        <w:ind w:left="200" w:right="299"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Century and FCDI entered into that certain agreement on September 22, 2023 under which</w:t>
      </w:r>
      <w:r>
        <w:rPr>
          <w:rFonts w:ascii="Arial" w:cs="Arial" w:eastAsia="Arial" w:hAnsi="Arial"/>
          <w:sz w:val="17"/>
          <w:szCs w:val="17"/>
          <w:b w:val="1"/>
          <w:bCs w:val="1"/>
          <w:color w:val="auto"/>
        </w:rPr>
        <w:t xml:space="preserve"> </w:t>
      </w:r>
      <w:r>
        <w:rPr>
          <w:rFonts w:ascii="Arial" w:cs="Arial" w:eastAsia="Arial" w:hAnsi="Arial"/>
          <w:sz w:val="17"/>
          <w:szCs w:val="17"/>
          <w:color w:val="auto"/>
        </w:rPr>
        <w:t>FCDI grants a non-exclusive license to Century under certain patent rights and know-how related to human iPSC-derived T cells, NK cells, dendritic cells, macrophages and monocytes under the terms and conditions set forth therein and as may be amended (the “</w:t>
      </w:r>
      <w:r>
        <w:rPr>
          <w:rFonts w:ascii="Arial" w:cs="Arial" w:eastAsia="Arial" w:hAnsi="Arial"/>
          <w:sz w:val="17"/>
          <w:szCs w:val="17"/>
          <w:b w:val="1"/>
          <w:bCs w:val="1"/>
          <w:color w:val="auto"/>
        </w:rPr>
        <w:t>Non-Exclusive Differentiation License Agreement</w:t>
      </w:r>
      <w:r>
        <w:rPr>
          <w:rFonts w:ascii="Arial" w:cs="Arial" w:eastAsia="Arial" w:hAnsi="Arial"/>
          <w:sz w:val="17"/>
          <w:szCs w:val="17"/>
          <w:color w:val="auto"/>
        </w:rPr>
        <w: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Century and FCDI desire to amend the Agreement as set forth herein; and</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agree as follows:</w:t>
      </w:r>
    </w:p>
    <w:p>
      <w:pPr>
        <w:spacing w:after="0" w:line="22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8"/>
          <w:szCs w:val="18"/>
          <w:b w:val="1"/>
          <w:bCs w:val="1"/>
          <w:u w:val="single" w:color="auto"/>
          <w:color w:val="auto"/>
        </w:rPr>
        <w:t>AMENDMENTS</w:t>
      </w:r>
    </w:p>
    <w:p>
      <w:pPr>
        <w:spacing w:after="0" w:line="225" w:lineRule="exact"/>
        <w:rPr>
          <w:sz w:val="20"/>
          <w:szCs w:val="20"/>
          <w:color w:val="auto"/>
        </w:rPr>
      </w:pPr>
    </w:p>
    <w:p>
      <w:pPr>
        <w:ind w:left="540" w:right="459" w:hanging="323"/>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Amendment of Article 1</w:t>
      </w:r>
      <w:r>
        <w:rPr>
          <w:rFonts w:ascii="Arial" w:cs="Arial" w:eastAsia="Arial" w:hAnsi="Arial"/>
          <w:sz w:val="18"/>
          <w:szCs w:val="18"/>
          <w:u w:val="single" w:color="auto"/>
          <w:color w:val="auto"/>
        </w:rPr>
        <w:t>.</w:t>
      </w:r>
      <w:r>
        <w:rPr>
          <w:rFonts w:ascii="Arial" w:cs="Arial" w:eastAsia="Arial" w:hAnsi="Arial"/>
          <w:sz w:val="18"/>
          <w:szCs w:val="18"/>
          <w:color w:val="auto"/>
        </w:rPr>
        <w:t xml:space="preserve"> Article 1 of the Agreement is hereby amended by inserting at the end of such article the following:</w:t>
      </w:r>
    </w:p>
    <w:p>
      <w:pPr>
        <w:spacing w:after="0" w:line="162" w:lineRule="exact"/>
        <w:rPr>
          <w:sz w:val="20"/>
          <w:szCs w:val="20"/>
          <w:color w:val="auto"/>
        </w:rPr>
      </w:pPr>
    </w:p>
    <w:p>
      <w:pPr>
        <w:ind w:left="860" w:right="41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Exclusive Differentiation License Agreement</w:t>
      </w:r>
      <w:r>
        <w:rPr>
          <w:rFonts w:ascii="Arial" w:cs="Arial" w:eastAsia="Arial" w:hAnsi="Arial"/>
          <w:sz w:val="17"/>
          <w:szCs w:val="17"/>
          <w:color w:val="auto"/>
        </w:rPr>
        <w:t>” means that certain License Agreement dated as of September 18, 2018 and pertaining to certain patent rights and know-how related to the manufacture of human iPSC (including TiPSC)-derived T cells, NK cells, dendritic cells, and macrophages by and between FCDI and Century Inc., as assigned to Century and as may be amended.”</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Amendment of Section 1.11</w:t>
      </w:r>
      <w:r>
        <w:rPr>
          <w:rFonts w:ascii="Arial" w:cs="Arial" w:eastAsia="Arial" w:hAnsi="Arial"/>
          <w:sz w:val="17"/>
          <w:szCs w:val="17"/>
          <w:u w:val="single" w:color="auto"/>
          <w:color w:val="auto"/>
        </w:rPr>
        <w:t>.</w:t>
      </w:r>
      <w:r>
        <w:rPr>
          <w:rFonts w:ascii="Arial" w:cs="Arial" w:eastAsia="Arial" w:hAnsi="Arial"/>
          <w:sz w:val="17"/>
          <w:szCs w:val="17"/>
          <w:color w:val="auto"/>
        </w:rPr>
        <w:t xml:space="preserve"> Section 1.11 of the Agreement shall be amended and restated as follows:</w:t>
      </w:r>
    </w:p>
    <w:p>
      <w:pPr>
        <w:spacing w:after="0" w:line="237" w:lineRule="exact"/>
        <w:rPr>
          <w:sz w:val="20"/>
          <w:szCs w:val="20"/>
          <w:color w:val="auto"/>
        </w:rPr>
      </w:pPr>
    </w:p>
    <w:p>
      <w:pPr>
        <w:ind w:left="860" w:right="53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Differentiation License Agreement</w:t>
      </w:r>
      <w:r>
        <w:rPr>
          <w:rFonts w:ascii="Arial" w:cs="Arial" w:eastAsia="Arial" w:hAnsi="Arial"/>
          <w:sz w:val="18"/>
          <w:szCs w:val="18"/>
          <w:color w:val="auto"/>
        </w:rPr>
        <w:t>” means, collectively or individually as applicable to the context in which such term is used, the Exclusive Differentiation License Agreement and/or the Non-Exclusive Differentiation License Agreement.”</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u w:val="single" w:color="auto"/>
          <w:color w:val="auto"/>
        </w:rPr>
        <w:t>Amendment of Section 6.2(b).</w:t>
      </w:r>
      <w:r>
        <w:rPr>
          <w:rFonts w:ascii="Arial" w:cs="Arial" w:eastAsia="Arial" w:hAnsi="Arial"/>
          <w:sz w:val="17"/>
          <w:szCs w:val="17"/>
          <w:color w:val="auto"/>
        </w:rPr>
        <w:t xml:space="preserve"> Section 6.2(b) of the Agreement shall be amended and restated as follows:</w:t>
      </w:r>
    </w:p>
    <w:p>
      <w:pPr>
        <w:spacing w:after="0" w:line="241"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Notwithstanding anything to the contrary herein:</w:t>
      </w:r>
    </w:p>
    <w:p>
      <w:pPr>
        <w:spacing w:after="0" w:line="221" w:lineRule="exact"/>
        <w:rPr>
          <w:sz w:val="20"/>
          <w:szCs w:val="20"/>
          <w:color w:val="auto"/>
        </w:rPr>
      </w:pPr>
    </w:p>
    <w:p>
      <w:pPr>
        <w:ind w:left="860" w:right="219" w:firstLine="645"/>
        <w:spacing w:after="0" w:line="294" w:lineRule="auto"/>
        <w:tabs>
          <w:tab w:leader="none" w:pos="1723"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except as expressly otherwise provided in </w:t>
      </w:r>
      <w:r>
        <w:rPr>
          <w:rFonts w:ascii="Arial" w:cs="Arial" w:eastAsia="Arial" w:hAnsi="Arial"/>
          <w:sz w:val="16"/>
          <w:szCs w:val="16"/>
          <w:b w:val="1"/>
          <w:bCs w:val="1"/>
          <w:color w:val="auto"/>
        </w:rPr>
        <w:t>Section 6.2(c)</w:t>
      </w:r>
      <w:r>
        <w:rPr>
          <w:rFonts w:ascii="Arial" w:cs="Arial" w:eastAsia="Arial" w:hAnsi="Arial"/>
          <w:sz w:val="16"/>
          <w:szCs w:val="16"/>
          <w:color w:val="auto"/>
        </w:rPr>
        <w:t xml:space="preserve"> with respect to the Selected Cell Lines (as defined below in </w:t>
      </w:r>
      <w:r>
        <w:rPr>
          <w:rFonts w:ascii="Arial" w:cs="Arial" w:eastAsia="Arial" w:hAnsi="Arial"/>
          <w:sz w:val="16"/>
          <w:szCs w:val="16"/>
          <w:b w:val="1"/>
          <w:bCs w:val="1"/>
          <w:color w:val="auto"/>
        </w:rPr>
        <w:t>Section 6.2(c)</w:t>
      </w:r>
      <w:r>
        <w:rPr>
          <w:rFonts w:ascii="Arial" w:cs="Arial" w:eastAsia="Arial" w:hAnsi="Arial"/>
          <w:sz w:val="16"/>
          <w:szCs w:val="16"/>
          <w:color w:val="auto"/>
        </w:rPr>
        <w:t>), FCDI shall remain the sole and exclusive owner of all right, title and interest in and to any and all Deliverables that are Reprogrammed iPS Cells or pluripotent Reprogrammed iPS Cell Derivative Materials (including, for the avoidance of doubt, any pluripotent Century Engineered Cells) and Century’s rights with respect to any such Deliverables shall be limited to the use thereof in accordance with and subject to the Reprogramming License Agreement and the Differentiation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318770</wp:posOffset>
            </wp:positionV>
            <wp:extent cx="545211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jc w:val="right"/>
        <w:ind w:right="219"/>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2" w:lineRule="exact"/>
        <w:rPr>
          <w:sz w:val="20"/>
          <w:szCs w:val="20"/>
          <w:color w:val="auto"/>
        </w:rPr>
      </w:pPr>
    </w:p>
    <w:p>
      <w:pPr>
        <w:ind w:left="860" w:right="239" w:firstLine="645"/>
        <w:spacing w:after="0" w:line="257" w:lineRule="auto"/>
        <w:tabs>
          <w:tab w:leader="none" w:pos="1773" w:val="left"/>
        </w:tabs>
        <w:numPr>
          <w:ilvl w:val="0"/>
          <w:numId w:val="24"/>
        </w:numPr>
        <w:rPr>
          <w:rFonts w:ascii="Arial" w:cs="Arial" w:eastAsia="Arial" w:hAnsi="Arial"/>
          <w:sz w:val="18"/>
          <w:szCs w:val="18"/>
          <w:color w:val="auto"/>
        </w:rPr>
      </w:pPr>
      <w:r>
        <w:rPr>
          <w:rFonts w:ascii="Arial" w:cs="Arial" w:eastAsia="Arial" w:hAnsi="Arial"/>
          <w:sz w:val="18"/>
          <w:szCs w:val="18"/>
          <w:color w:val="auto"/>
        </w:rPr>
        <w:t>FCDI shall remain the sole and exclusive owner of all right, title and interest in and to the Licensed Patent Rights and the Licensed Technology and its retained rights pursuant to the Differentiation License Agreement including those pertaining to or embodied or incorporated in any Deliverables as to which Century shall have solely the rights granted in the Reprogramming License Agreement and the Differentiation License Agreement;</w:t>
      </w:r>
    </w:p>
    <w:p>
      <w:pPr>
        <w:spacing w:after="0" w:line="187" w:lineRule="exact"/>
        <w:rPr>
          <w:rFonts w:ascii="Arial" w:cs="Arial" w:eastAsia="Arial" w:hAnsi="Arial"/>
          <w:sz w:val="18"/>
          <w:szCs w:val="18"/>
          <w:color w:val="auto"/>
        </w:rPr>
      </w:pPr>
    </w:p>
    <w:p>
      <w:pPr>
        <w:ind w:left="860" w:right="319" w:firstLine="645"/>
        <w:spacing w:after="0" w:line="263" w:lineRule="auto"/>
        <w:tabs>
          <w:tab w:leader="none" w:pos="18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FCDI shall remain the sole and exclusive owner of all right, title and interest in and to any and all products, materials, tools, Know-How, and intellectual property rights therein and Patent Rights and other similar rights (e.g., copyright registrations) with respect thereto, that are:</w:t>
      </w:r>
    </w:p>
    <w:p>
      <w:pPr>
        <w:spacing w:after="0" w:line="183" w:lineRule="exact"/>
        <w:rPr>
          <w:rFonts w:ascii="Arial" w:cs="Arial" w:eastAsia="Arial" w:hAnsi="Arial"/>
          <w:sz w:val="18"/>
          <w:szCs w:val="18"/>
          <w:color w:val="auto"/>
        </w:rPr>
      </w:pPr>
    </w:p>
    <w:p>
      <w:pPr>
        <w:ind w:left="1500" w:right="359" w:firstLine="653"/>
        <w:spacing w:after="0" w:line="311" w:lineRule="auto"/>
        <w:tabs>
          <w:tab w:leader="none" w:pos="2443" w:val="left"/>
        </w:tabs>
        <w:numPr>
          <w:ilvl w:val="1"/>
          <w:numId w:val="24"/>
        </w:numPr>
        <w:rPr>
          <w:rFonts w:ascii="Arial" w:cs="Arial" w:eastAsia="Arial" w:hAnsi="Arial"/>
          <w:sz w:val="16"/>
          <w:szCs w:val="16"/>
          <w:color w:val="auto"/>
        </w:rPr>
      </w:pPr>
      <w:r>
        <w:rPr>
          <w:rFonts w:ascii="Arial" w:cs="Arial" w:eastAsia="Arial" w:hAnsi="Arial"/>
          <w:sz w:val="16"/>
          <w:szCs w:val="16"/>
          <w:color w:val="auto"/>
        </w:rPr>
        <w:t>made, conceived, reduced to practice or otherwise discovered firstly by its employees, consultants or other contractors, or agents outside of the course of the performance of the Services and without use of, reference to or incorporation of Century’s Confidential Information,</w:t>
      </w:r>
    </w:p>
    <w:p>
      <w:pPr>
        <w:spacing w:after="0" w:line="148" w:lineRule="exact"/>
        <w:rPr>
          <w:rFonts w:ascii="Arial" w:cs="Arial" w:eastAsia="Arial" w:hAnsi="Arial"/>
          <w:sz w:val="16"/>
          <w:szCs w:val="16"/>
          <w:color w:val="auto"/>
        </w:rPr>
      </w:pPr>
    </w:p>
    <w:p>
      <w:pPr>
        <w:ind w:left="1500" w:right="319" w:firstLine="653"/>
        <w:spacing w:after="0" w:line="271" w:lineRule="auto"/>
        <w:tabs>
          <w:tab w:leader="none" w:pos="2433" w:val="left"/>
        </w:tabs>
        <w:numPr>
          <w:ilvl w:val="1"/>
          <w:numId w:val="24"/>
        </w:numPr>
        <w:rPr>
          <w:rFonts w:ascii="Arial" w:cs="Arial" w:eastAsia="Arial" w:hAnsi="Arial"/>
          <w:sz w:val="17"/>
          <w:szCs w:val="17"/>
          <w:color w:val="auto"/>
        </w:rPr>
      </w:pPr>
      <w:r>
        <w:rPr>
          <w:rFonts w:ascii="Arial" w:cs="Arial" w:eastAsia="Arial" w:hAnsi="Arial"/>
          <w:sz w:val="17"/>
          <w:szCs w:val="17"/>
          <w:color w:val="auto"/>
        </w:rPr>
        <w:t>improvements, variations, modifications or enhancements of anything described in this sentence that are first made, conceived, reduced to practice or otherwise discovered by, or on behalf of, FCDI after the Effective Date in the course of FCDI’s performance of the Services (other than as explicitly set forth in an SOW) and that do not use or incorporate any of Century’s Confidential Information and that are useful for, and to be practiced in, the development, manufacture or commercialization of iPSCs (including TiPSC) (derived by any reprogramming method) or any one or more iPSC derived cell(s) other than solely iPSC (including TiPSC)-derived T cells, NK cells, dendritic cells, or macrophages; or</w:t>
      </w:r>
    </w:p>
    <w:p>
      <w:pPr>
        <w:spacing w:after="0" w:line="178" w:lineRule="exact"/>
        <w:rPr>
          <w:rFonts w:ascii="Arial" w:cs="Arial" w:eastAsia="Arial" w:hAnsi="Arial"/>
          <w:sz w:val="17"/>
          <w:szCs w:val="17"/>
          <w:color w:val="auto"/>
        </w:rPr>
      </w:pPr>
    </w:p>
    <w:p>
      <w:pPr>
        <w:ind w:left="1500" w:right="779" w:firstLine="653"/>
        <w:spacing w:after="0" w:line="277" w:lineRule="auto"/>
        <w:tabs>
          <w:tab w:leader="none" w:pos="2433"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third party intellectual property rights in licensed or otherwise acquired by FCDI independent of this Agreement (“</w:t>
      </w:r>
      <w:r>
        <w:rPr>
          <w:rFonts w:ascii="Arial" w:cs="Arial" w:eastAsia="Arial" w:hAnsi="Arial"/>
          <w:sz w:val="18"/>
          <w:szCs w:val="18"/>
          <w:b w:val="1"/>
          <w:bCs w:val="1"/>
          <w:color w:val="auto"/>
        </w:rPr>
        <w:t>FCDI Technology</w:t>
      </w:r>
      <w:r>
        <w:rPr>
          <w:rFonts w:ascii="Arial" w:cs="Arial" w:eastAsia="Arial" w:hAnsi="Arial"/>
          <w:sz w:val="18"/>
          <w:szCs w:val="18"/>
          <w:color w:val="auto"/>
        </w:rPr>
        <w:t>”).</w:t>
      </w:r>
    </w:p>
    <w:p>
      <w:pPr>
        <w:spacing w:after="0" w:line="170" w:lineRule="exact"/>
        <w:rPr>
          <w:sz w:val="20"/>
          <w:szCs w:val="20"/>
          <w:color w:val="auto"/>
        </w:rPr>
      </w:pPr>
    </w:p>
    <w:p>
      <w:pPr>
        <w:ind w:left="200" w:right="239"/>
        <w:spacing w:after="0" w:line="267" w:lineRule="auto"/>
        <w:rPr>
          <w:sz w:val="20"/>
          <w:szCs w:val="20"/>
          <w:color w:val="auto"/>
        </w:rPr>
      </w:pPr>
      <w:r>
        <w:rPr>
          <w:rFonts w:ascii="Arial" w:cs="Arial" w:eastAsia="Arial" w:hAnsi="Arial"/>
          <w:sz w:val="17"/>
          <w:szCs w:val="17"/>
          <w:color w:val="auto"/>
        </w:rPr>
        <w:t xml:space="preserve">For the avoidance of doubt, FCDI shall remain the sole and exclusive owner of all right, title and interest in any and all products, materials, tools, Know-How, and any and all improvements, variations, modifications or enhancements of any of the foregoing, that are made, conceived, reduced to practice or otherwise discovered firstly by its employees, consultants or other contractors, or agents outside of the course of the performance of the Services (and accordingly are not funded in whole or in part by Century) and without use of, reference to or incorporation of Century’s Confidential Information, and any and all intellectual property rights therein and Patent Rights and other similar rights (e.g., copyright registrations) with respect thereto. FCDI hereby grants, in addition to the rights thereto granted under the Reprogramming License Agreement and/or Differentiation License Agreement (i.e., to the extent a license under the FCDI Technology to do (I) and (II) below is not already granted thereunder), to Century a nonexclusive,­ perpetual, irrevocable, fully paid-up. royalty-free, sublicensable (through multiple tiers), worldwide license under all FCDI Technology described in </w:t>
      </w:r>
      <w:r>
        <w:rPr>
          <w:rFonts w:ascii="Arial" w:cs="Arial" w:eastAsia="Arial" w:hAnsi="Arial"/>
          <w:sz w:val="17"/>
          <w:szCs w:val="17"/>
          <w:b w:val="1"/>
          <w:bCs w:val="1"/>
          <w:color w:val="auto"/>
        </w:rPr>
        <w:t>Section 6.2(b)(iii)(B)</w:t>
      </w:r>
      <w:r>
        <w:rPr>
          <w:rFonts w:ascii="Arial" w:cs="Arial" w:eastAsia="Arial" w:hAnsi="Arial"/>
          <w:sz w:val="17"/>
          <w:szCs w:val="17"/>
          <w:color w:val="auto"/>
        </w:rPr>
        <w:t xml:space="preserve"> pertaining to or embodied within the Deliverables, (I) to fully exploit any product or service based on, embodying, incorporating, or derived from the Deliverables that are owned by Century, and (II) to exercise any and all other present or future rights in the Deliverables for any and all purposes (excluding, for the avoidance of doubt, any rights under the Licensed Patent Rights, the Licensed Know-How or FCDI Technology as to which Century shall have solely the rights granted under the Reprogramming License Agreement and/or Differentiation License Agreement or otherwise expressly granted herein) or to fully Exploit the Licensed Products and any product or service described in either of the immediately preceding clauses (I) and (II) of this sentence.”</w:t>
      </w:r>
    </w:p>
    <w:p>
      <w:pPr>
        <w:spacing w:after="0" w:line="18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left="540" w:right="259" w:hanging="323"/>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xml:space="preserve"> Pursuant to, and in accordance with Section 10.5 of the Agreement, as of the Amendment No. 5 Effective Date, each Party’s contact information is as follows: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to CDI:</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FUJIFILM Cellular Dynamics,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465 Science Drive</w:t>
      </w:r>
    </w:p>
    <w:p>
      <w:pPr>
        <w:sectPr>
          <w:pgSz w:w="11900" w:h="16838" w:orient="portrait"/>
          <w:cols w:equalWidth="0" w:num="1">
            <w:col w:w="9019"/>
          </w:cols>
          <w:pgMar w:left="1440" w:top="6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tabs>
          <w:tab w:leader="none" w:pos="4060" w:val="left"/>
          <w:tab w:leader="none" w:pos="74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2 of 1</w:t>
      </w:r>
      <w:r>
        <w:rPr>
          <w:sz w:val="20"/>
          <w:szCs w:val="20"/>
          <w:color w:val="auto"/>
        </w:rPr>
        <w:tab/>
      </w:r>
      <w:r>
        <w:rPr>
          <w:rFonts w:ascii="Arial" w:cs="Arial" w:eastAsia="Arial" w:hAnsi="Arial"/>
          <w:sz w:val="17"/>
          <w:szCs w:val="17"/>
          <w:color w:val="auto"/>
        </w:rPr>
        <w:t>MSA -001-01-A5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type w:val="continuous"/>
        </w:sectPr>
      </w:pPr>
    </w:p>
    <w:bookmarkStart w:id="57" w:name="page58"/>
    <w:bookmarkEnd w:id="57"/>
    <w:p>
      <w:pPr>
        <w:jc w:val="right"/>
        <w:ind w:right="219"/>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Madison, WI 53711</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Director, Intellectual Property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fcdi-licensing@cellulardynamics.com</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FUJIFILM Cellular Dynamics,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465 Science Drive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Madison, WI 53711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legaldepartment@fujifdm.com</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to Century:</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Century Therapeutics, Inc.</w:t>
      </w:r>
    </w:p>
    <w:p>
      <w:pPr>
        <w:ind w:left="1500"/>
        <w:spacing w:after="0" w:line="193" w:lineRule="auto"/>
        <w:rPr>
          <w:sz w:val="20"/>
          <w:szCs w:val="20"/>
          <w:color w:val="auto"/>
        </w:rPr>
      </w:pPr>
      <w:r>
        <w:rPr>
          <w:rFonts w:ascii="Arial" w:cs="Arial" w:eastAsia="Arial" w:hAnsi="Arial"/>
          <w:sz w:val="18"/>
          <w:szCs w:val="18"/>
          <w:color w:val="auto"/>
        </w:rPr>
        <w:t>25 N. 38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11</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Philadelphia, PA 19104</w:t>
      </w:r>
    </w:p>
    <w:p>
      <w:pPr>
        <w:spacing w:after="0" w:line="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legal@centurytx.com</w:t>
      </w:r>
    </w:p>
    <w:p>
      <w:pPr>
        <w:spacing w:after="0" w:line="207" w:lineRule="exact"/>
        <w:rPr>
          <w:sz w:val="20"/>
          <w:szCs w:val="20"/>
          <w:color w:val="auto"/>
        </w:rPr>
      </w:pPr>
    </w:p>
    <w:p>
      <w:pPr>
        <w:ind w:left="540" w:right="399" w:hanging="323"/>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xml:space="preserve"> Capitalized terms used, but not otherwise defined herein, shall have the meanings assigned to them in the Agreement.</w:t>
      </w:r>
    </w:p>
    <w:p>
      <w:pPr>
        <w:spacing w:after="0" w:line="162" w:lineRule="exact"/>
        <w:rPr>
          <w:sz w:val="20"/>
          <w:szCs w:val="20"/>
          <w:color w:val="auto"/>
        </w:rPr>
      </w:pPr>
    </w:p>
    <w:p>
      <w:pPr>
        <w:ind w:left="540" w:right="359" w:hanging="323"/>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No Other Amendments.</w:t>
      </w:r>
      <w:r>
        <w:rPr>
          <w:rFonts w:ascii="Arial" w:cs="Arial" w:eastAsia="Arial" w:hAnsi="Arial"/>
          <w:sz w:val="18"/>
          <w:szCs w:val="18"/>
          <w:color w:val="auto"/>
        </w:rPr>
        <w:t xml:space="preserve"> Except as expressly set forth in this Amendment No. 5, all of the terms and conditions of the Agreement shall remain unchanged and in full force and effect.</w:t>
      </w:r>
    </w:p>
    <w:p>
      <w:pPr>
        <w:spacing w:after="0" w:line="162" w:lineRule="exact"/>
        <w:rPr>
          <w:sz w:val="20"/>
          <w:szCs w:val="20"/>
          <w:color w:val="auto"/>
        </w:rPr>
      </w:pPr>
    </w:p>
    <w:p>
      <w:pPr>
        <w:ind w:left="540" w:right="299" w:hanging="323"/>
        <w:spacing w:after="0" w:line="274"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u w:val="single" w:color="auto"/>
          <w:color w:val="auto"/>
        </w:rPr>
        <w:t>Counterparts and Signatures.</w:t>
      </w:r>
      <w:r>
        <w:rPr>
          <w:rFonts w:ascii="Arial" w:cs="Arial" w:eastAsia="Arial" w:hAnsi="Arial"/>
          <w:sz w:val="17"/>
          <w:szCs w:val="17"/>
          <w:color w:val="auto"/>
        </w:rPr>
        <w:t xml:space="preserve"> This Amendment No. 5 may be executed in one or more counterparts, each of which shall be deemed an original, and all of which together shall be deemed to be one and the same instrument. Signatures to this Amendment No. 5 transmitted by facsimile transmission, by electronic mail in “portable document format” (“.pdf’) form, or by any other electronic means intended to preserve the originals graphic and pictorial appearance of a document, shall have the same effect as physical delivery of the paper document bearing the original signatures, and shall be deemed original signatures by both Parties.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tabs>
          <w:tab w:leader="none" w:pos="4060" w:val="left"/>
          <w:tab w:leader="none" w:pos="74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3 of 1</w:t>
      </w:r>
      <w:r>
        <w:rPr>
          <w:sz w:val="20"/>
          <w:szCs w:val="20"/>
          <w:color w:val="auto"/>
        </w:rPr>
        <w:tab/>
      </w:r>
      <w:r>
        <w:rPr>
          <w:rFonts w:ascii="Arial" w:cs="Arial" w:eastAsia="Arial" w:hAnsi="Arial"/>
          <w:sz w:val="17"/>
          <w:szCs w:val="17"/>
          <w:color w:val="auto"/>
        </w:rPr>
        <w:t>MSA -001-01-A5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58" w:name="page59"/>
    <w:bookmarkEnd w:id="58"/>
    <w:p>
      <w:pPr>
        <w:jc w:val="right"/>
        <w:ind w:right="219"/>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2" w:lineRule="exact"/>
        <w:rPr>
          <w:sz w:val="20"/>
          <w:szCs w:val="20"/>
          <w:color w:val="auto"/>
        </w:rPr>
      </w:pPr>
    </w:p>
    <w:p>
      <w:pPr>
        <w:ind w:left="200" w:right="619" w:firstLine="648"/>
        <w:spacing w:after="0" w:line="277" w:lineRule="auto"/>
        <w:rPr>
          <w:sz w:val="20"/>
          <w:szCs w:val="20"/>
          <w:color w:val="auto"/>
        </w:rPr>
      </w:pPr>
      <w:r>
        <w:rPr>
          <w:rFonts w:ascii="Arial" w:cs="Arial" w:eastAsia="Arial" w:hAnsi="Arial"/>
          <w:sz w:val="18"/>
          <w:szCs w:val="18"/>
          <w:color w:val="auto"/>
        </w:rPr>
        <w:t>IN WITNESS WHEREOF, the Parties have executed this Amendment No. 5 as of the Amendment No. 5 Effective Date.</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FUJIFILM CELLULAR DYNAMICS, INC.</w:t>
            </w:r>
          </w:p>
        </w:tc>
        <w:tc>
          <w:tcPr>
            <w:tcW w:w="4300" w:type="dxa"/>
            <w:vAlign w:val="bottom"/>
            <w:gridSpan w:val="2"/>
          </w:tcPr>
          <w:p>
            <w:pPr>
              <w:ind w:left="540"/>
              <w:spacing w:after="0"/>
              <w:rPr>
                <w:sz w:val="20"/>
                <w:szCs w:val="20"/>
                <w:color w:val="auto"/>
              </w:rPr>
            </w:pPr>
            <w:r>
              <w:rPr>
                <w:rFonts w:ascii="Arial" w:cs="Arial" w:eastAsia="Arial" w:hAnsi="Arial"/>
                <w:sz w:val="18"/>
                <w:szCs w:val="18"/>
                <w:b w:val="1"/>
                <w:bCs w:val="1"/>
                <w:color w:val="auto"/>
              </w:rPr>
              <w:t>CENTURY THERAPEUTICS, INC.</w:t>
            </w:r>
          </w:p>
        </w:tc>
      </w:tr>
      <w:tr>
        <w:trPr>
          <w:trHeight w:val="716"/>
        </w:trPr>
        <w:tc>
          <w:tcPr>
            <w:tcW w:w="3760" w:type="dxa"/>
            <w:vAlign w:val="bottom"/>
            <w:gridSpan w:val="2"/>
          </w:tcPr>
          <w:p>
            <w:pPr>
              <w:spacing w:after="0"/>
              <w:rPr>
                <w:sz w:val="20"/>
                <w:szCs w:val="20"/>
                <w:color w:val="auto"/>
              </w:rPr>
            </w:pPr>
            <w:r>
              <w:rPr>
                <w:rFonts w:ascii="Arial" w:cs="Arial" w:eastAsia="Arial" w:hAnsi="Arial"/>
                <w:sz w:val="18"/>
                <w:szCs w:val="18"/>
                <w:color w:val="auto"/>
              </w:rPr>
              <w:t>By: /s/Tomoyuki Hasegawa</w:t>
            </w:r>
          </w:p>
        </w:tc>
        <w:tc>
          <w:tcPr>
            <w:tcW w:w="4300" w:type="dxa"/>
            <w:vAlign w:val="bottom"/>
            <w:gridSpan w:val="2"/>
          </w:tcPr>
          <w:p>
            <w:pPr>
              <w:ind w:left="540"/>
              <w:spacing w:after="0"/>
              <w:rPr>
                <w:sz w:val="20"/>
                <w:szCs w:val="20"/>
                <w:color w:val="auto"/>
              </w:rPr>
            </w:pPr>
            <w:r>
              <w:rPr>
                <w:rFonts w:ascii="Arial" w:cs="Arial" w:eastAsia="Arial" w:hAnsi="Arial"/>
                <w:sz w:val="18"/>
                <w:szCs w:val="18"/>
                <w:color w:val="auto"/>
              </w:rPr>
              <w:t>By: /s/Greg Russotti</w:t>
            </w:r>
          </w:p>
        </w:tc>
      </w:tr>
      <w:tr>
        <w:trPr>
          <w:trHeight w:val="20"/>
        </w:trPr>
        <w:tc>
          <w:tcPr>
            <w:tcW w:w="32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Name: Tomoyuki Hasegawa</w:t>
            </w:r>
          </w:p>
        </w:tc>
        <w:tc>
          <w:tcPr>
            <w:tcW w:w="4300" w:type="dxa"/>
            <w:vAlign w:val="bottom"/>
            <w:gridSpan w:val="2"/>
          </w:tcPr>
          <w:p>
            <w:pPr>
              <w:ind w:left="540"/>
              <w:spacing w:after="0"/>
              <w:rPr>
                <w:sz w:val="20"/>
                <w:szCs w:val="20"/>
                <w:color w:val="auto"/>
              </w:rPr>
            </w:pPr>
            <w:r>
              <w:rPr>
                <w:rFonts w:ascii="Arial" w:cs="Arial" w:eastAsia="Arial" w:hAnsi="Arial"/>
                <w:sz w:val="18"/>
                <w:szCs w:val="18"/>
                <w:color w:val="auto"/>
              </w:rPr>
              <w:t>Name: Greg Russotti, Ph.D.</w:t>
            </w: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Title: President and Chief Executive Officer</w:t>
            </w:r>
          </w:p>
        </w:tc>
        <w:tc>
          <w:tcPr>
            <w:tcW w:w="4300" w:type="dxa"/>
            <w:vAlign w:val="bottom"/>
            <w:gridSpan w:val="2"/>
          </w:tcPr>
          <w:p>
            <w:pPr>
              <w:ind w:left="540"/>
              <w:spacing w:after="0"/>
              <w:rPr>
                <w:sz w:val="20"/>
                <w:szCs w:val="20"/>
                <w:color w:val="auto"/>
              </w:rPr>
            </w:pPr>
            <w:r>
              <w:rPr>
                <w:rFonts w:ascii="Arial" w:cs="Arial" w:eastAsia="Arial" w:hAnsi="Arial"/>
                <w:sz w:val="18"/>
                <w:szCs w:val="18"/>
                <w:color w:val="auto"/>
              </w:rPr>
              <w:t>Title: Interim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tabs>
          <w:tab w:leader="none" w:pos="4060" w:val="left"/>
          <w:tab w:leader="none" w:pos="74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4 of 1</w:t>
      </w:r>
      <w:r>
        <w:rPr>
          <w:sz w:val="20"/>
          <w:szCs w:val="20"/>
          <w:color w:val="auto"/>
        </w:rPr>
        <w:tab/>
      </w:r>
      <w:r>
        <w:rPr>
          <w:rFonts w:ascii="Arial" w:cs="Arial" w:eastAsia="Arial" w:hAnsi="Arial"/>
          <w:sz w:val="17"/>
          <w:szCs w:val="17"/>
          <w:color w:val="auto"/>
        </w:rPr>
        <w:t>MSA -001-01-A5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59" w:name="page60"/>
    <w:bookmarkEnd w:id="59"/>
    <w:p>
      <w:pPr>
        <w:jc w:val="right"/>
        <w:ind w:right="219"/>
        <w:spacing w:after="0"/>
        <w:rPr>
          <w:sz w:val="20"/>
          <w:szCs w:val="20"/>
          <w:color w:val="auto"/>
        </w:rPr>
      </w:pPr>
      <w:r>
        <w:rPr>
          <w:rFonts w:ascii="Arial" w:cs="Arial" w:eastAsia="Arial" w:hAnsi="Arial"/>
          <w:sz w:val="22"/>
          <w:szCs w:val="22"/>
          <w:i w:val="1"/>
          <w:iCs w:val="1"/>
          <w:color w:val="auto"/>
        </w:rPr>
        <w:t>Differentiation</w:t>
      </w:r>
    </w:p>
    <w:p>
      <w:pPr>
        <w:spacing w:after="0" w:line="21" w:lineRule="exact"/>
        <w:rPr>
          <w:sz w:val="20"/>
          <w:szCs w:val="20"/>
          <w:color w:val="auto"/>
        </w:rPr>
      </w:pPr>
    </w:p>
    <w:p>
      <w:pPr>
        <w:jc w:val="right"/>
        <w:ind w:right="219"/>
        <w:spacing w:after="0"/>
        <w:rPr>
          <w:sz w:val="20"/>
          <w:szCs w:val="20"/>
          <w:color w:val="auto"/>
        </w:rPr>
      </w:pPr>
      <w:r>
        <w:rPr>
          <w:rFonts w:ascii="Arial" w:cs="Arial" w:eastAsia="Arial" w:hAnsi="Arial"/>
          <w:sz w:val="22"/>
          <w:szCs w:val="22"/>
          <w:color w:val="auto"/>
        </w:rPr>
        <w:t>Execution Version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SECOND AMENDMENT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LICENSE AGREEMENT</w:t>
      </w:r>
    </w:p>
    <w:p>
      <w:pPr>
        <w:spacing w:after="0" w:line="202" w:lineRule="exact"/>
        <w:rPr>
          <w:sz w:val="20"/>
          <w:szCs w:val="20"/>
          <w:color w:val="auto"/>
        </w:rPr>
      </w:pPr>
    </w:p>
    <w:p>
      <w:pPr>
        <w:jc w:val="both"/>
        <w:ind w:left="200" w:right="219" w:firstLine="1296"/>
        <w:spacing w:after="0" w:line="249" w:lineRule="auto"/>
        <w:rPr>
          <w:sz w:val="20"/>
          <w:szCs w:val="20"/>
          <w:color w:val="auto"/>
        </w:rPr>
      </w:pPr>
      <w:r>
        <w:rPr>
          <w:rFonts w:ascii="Arial" w:cs="Arial" w:eastAsia="Arial" w:hAnsi="Arial"/>
          <w:sz w:val="20"/>
          <w:szCs w:val="20"/>
          <w:color w:val="auto"/>
        </w:rPr>
        <w:t>This Second Amendment to License Agreement (the “</w:t>
      </w:r>
      <w:r>
        <w:rPr>
          <w:rFonts w:ascii="Arial" w:cs="Arial" w:eastAsia="Arial" w:hAnsi="Arial"/>
          <w:sz w:val="20"/>
          <w:szCs w:val="20"/>
          <w:b w:val="1"/>
          <w:bCs w:val="1"/>
          <w:color w:val="auto"/>
        </w:rPr>
        <w:t>Second Amendment</w:t>
      </w:r>
      <w:r>
        <w:rPr>
          <w:rFonts w:ascii="Arial" w:cs="Arial" w:eastAsia="Arial" w:hAnsi="Arial"/>
          <w:sz w:val="20"/>
          <w:szCs w:val="20"/>
          <w:color w:val="auto"/>
        </w:rPr>
        <w:t>”) is made and effective as of September 22, 2023 (the “</w:t>
      </w:r>
      <w:r>
        <w:rPr>
          <w:rFonts w:ascii="Arial" w:cs="Arial" w:eastAsia="Arial" w:hAnsi="Arial"/>
          <w:sz w:val="20"/>
          <w:szCs w:val="20"/>
          <w:b w:val="1"/>
          <w:bCs w:val="1"/>
          <w:color w:val="auto"/>
        </w:rPr>
        <w:t>Second Amendment Effective Date</w:t>
      </w:r>
      <w:r>
        <w:rPr>
          <w:rFonts w:ascii="Arial" w:cs="Arial" w:eastAsia="Arial" w:hAnsi="Arial"/>
          <w:sz w:val="20"/>
          <w:szCs w:val="20"/>
          <w:color w:val="auto"/>
        </w:rPr>
        <w:t>”) between Century Therapeutics, Inc. (f/k/a Century Therapeutics, LLC), a Delaware corporation (“</w:t>
      </w:r>
      <w:r>
        <w:rPr>
          <w:rFonts w:ascii="Arial" w:cs="Arial" w:eastAsia="Arial" w:hAnsi="Arial"/>
          <w:sz w:val="20"/>
          <w:szCs w:val="20"/>
          <w:b w:val="1"/>
          <w:bCs w:val="1"/>
          <w:color w:val="auto"/>
        </w:rPr>
        <w:t>Century</w:t>
      </w:r>
      <w:r>
        <w:rPr>
          <w:rFonts w:ascii="Arial" w:cs="Arial" w:eastAsia="Arial" w:hAnsi="Arial"/>
          <w:sz w:val="20"/>
          <w:szCs w:val="20"/>
          <w:color w:val="auto"/>
        </w:rPr>
        <w:t>”) having a principal place of business at 3675 Market Street, Philadelphia, PA 19104 USA, and FUJIFILM Cellular Dynamics Inc., a Wisconsin corporation (“</w:t>
      </w:r>
      <w:r>
        <w:rPr>
          <w:rFonts w:ascii="Arial" w:cs="Arial" w:eastAsia="Arial" w:hAnsi="Arial"/>
          <w:sz w:val="20"/>
          <w:szCs w:val="20"/>
          <w:b w:val="1"/>
          <w:bCs w:val="1"/>
          <w:color w:val="auto"/>
        </w:rPr>
        <w:t>CDI</w:t>
      </w:r>
      <w:r>
        <w:rPr>
          <w:rFonts w:ascii="Arial" w:cs="Arial" w:eastAsia="Arial" w:hAnsi="Arial"/>
          <w:sz w:val="20"/>
          <w:szCs w:val="20"/>
          <w:color w:val="auto"/>
        </w:rPr>
        <w:t>”) having an address at 525 Science Drive, Madison, WI 53711 USA, and amends the License Agreement by and between Century (as assignee of Century Therapeutics, Inc. (“</w:t>
      </w:r>
      <w:r>
        <w:rPr>
          <w:rFonts w:ascii="Arial" w:cs="Arial" w:eastAsia="Arial" w:hAnsi="Arial"/>
          <w:sz w:val="20"/>
          <w:szCs w:val="20"/>
          <w:b w:val="1"/>
          <w:bCs w:val="1"/>
          <w:color w:val="auto"/>
        </w:rPr>
        <w:t>Century Inc.</w:t>
      </w:r>
      <w:r>
        <w:rPr>
          <w:rFonts w:ascii="Arial" w:cs="Arial" w:eastAsia="Arial" w:hAnsi="Arial"/>
          <w:sz w:val="20"/>
          <w:szCs w:val="20"/>
          <w:color w:val="auto"/>
        </w:rPr>
        <w:t>”)) and CDI dated September 18, 2018 (as amended, the “</w:t>
      </w:r>
      <w:r>
        <w:rPr>
          <w:rFonts w:ascii="Arial" w:cs="Arial" w:eastAsia="Arial" w:hAnsi="Arial"/>
          <w:sz w:val="20"/>
          <w:szCs w:val="20"/>
          <w:b w:val="1"/>
          <w:bCs w:val="1"/>
          <w:color w:val="auto"/>
        </w:rPr>
        <w:t>License</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All capitalized terms used but not otherwise defined herein shall have the meaning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in the License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WHEREAS, on September 18, 2018, Century Inc. and CDI entered into the License</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Agreement;</w:t>
      </w:r>
    </w:p>
    <w:p>
      <w:pPr>
        <w:spacing w:after="0" w:line="213"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9"/>
          <w:szCs w:val="19"/>
          <w:color w:val="auto"/>
        </w:rPr>
        <w:t>WHEREAS, pursuant to the License Agreement CDI granted Century Inc. an exclusive license under the Licensed Patent Rights to Exploit the Licensed Products in the Field in the Territory;</w:t>
      </w:r>
    </w:p>
    <w:p>
      <w:pPr>
        <w:spacing w:after="0" w:line="152" w:lineRule="exact"/>
        <w:rPr>
          <w:sz w:val="20"/>
          <w:szCs w:val="20"/>
          <w:color w:val="auto"/>
        </w:rPr>
      </w:pPr>
    </w:p>
    <w:p>
      <w:pPr>
        <w:jc w:val="both"/>
        <w:ind w:left="200" w:right="219" w:firstLine="1296"/>
        <w:spacing w:after="0" w:line="274" w:lineRule="auto"/>
        <w:rPr>
          <w:sz w:val="20"/>
          <w:szCs w:val="20"/>
          <w:color w:val="auto"/>
        </w:rPr>
      </w:pPr>
      <w:r>
        <w:rPr>
          <w:rFonts w:ascii="Arial" w:cs="Arial" w:eastAsia="Arial" w:hAnsi="Arial"/>
          <w:sz w:val="20"/>
          <w:szCs w:val="20"/>
          <w:color w:val="auto"/>
        </w:rPr>
        <w:t>WHEREAS, Century Inc. assigned all of its rights and obligations under the License Agreement to Century;</w:t>
      </w:r>
    </w:p>
    <w:p>
      <w:pPr>
        <w:spacing w:after="0" w:line="163" w:lineRule="exact"/>
        <w:rPr>
          <w:sz w:val="20"/>
          <w:szCs w:val="20"/>
          <w:color w:val="auto"/>
        </w:rPr>
      </w:pPr>
    </w:p>
    <w:p>
      <w:pPr>
        <w:jc w:val="both"/>
        <w:ind w:left="200" w:right="219" w:firstLine="1296"/>
        <w:spacing w:after="0" w:line="268" w:lineRule="auto"/>
        <w:rPr>
          <w:sz w:val="20"/>
          <w:szCs w:val="20"/>
          <w:color w:val="auto"/>
        </w:rPr>
      </w:pPr>
      <w:r>
        <w:rPr>
          <w:rFonts w:ascii="Arial" w:cs="Arial" w:eastAsia="Arial" w:hAnsi="Arial"/>
          <w:sz w:val="19"/>
          <w:szCs w:val="19"/>
          <w:color w:val="auto"/>
        </w:rPr>
        <w:t>WHEREAS, certain terms of the License Agreement were modified as set forth in that certain First Amendment to the License Agreement dated as of March 23, 2021, by and between CDI and Century (“</w:t>
      </w:r>
      <w:r>
        <w:rPr>
          <w:rFonts w:ascii="Arial" w:cs="Arial" w:eastAsia="Arial" w:hAnsi="Arial"/>
          <w:sz w:val="19"/>
          <w:szCs w:val="19"/>
          <w:b w:val="1"/>
          <w:bCs w:val="1"/>
          <w:color w:val="auto"/>
        </w:rPr>
        <w:t>First Amendment</w:t>
      </w:r>
      <w:r>
        <w:rPr>
          <w:rFonts w:ascii="Arial" w:cs="Arial" w:eastAsia="Arial" w:hAnsi="Arial"/>
          <w:sz w:val="19"/>
          <w:szCs w:val="19"/>
          <w:color w:val="auto"/>
        </w:rPr>
        <w:t>”) and, with respect to the BMS Collaboration Agreement (as defined in such letter agreement), as set forth in a certain letter agreement effective as of January 7, 2022 between Century and CDI (the “</w:t>
      </w:r>
      <w:r>
        <w:rPr>
          <w:rFonts w:ascii="Arial" w:cs="Arial" w:eastAsia="Arial" w:hAnsi="Arial"/>
          <w:sz w:val="19"/>
          <w:szCs w:val="19"/>
          <w:b w:val="1"/>
          <w:bCs w:val="1"/>
          <w:color w:val="auto"/>
        </w:rPr>
        <w:t>BMS Collaboration Letter Agreement</w:t>
      </w:r>
      <w:r>
        <w:rPr>
          <w:rFonts w:ascii="Arial" w:cs="Arial" w:eastAsia="Arial" w:hAnsi="Arial"/>
          <w:sz w:val="19"/>
          <w:szCs w:val="19"/>
          <w:color w:val="auto"/>
        </w:rPr>
        <w:t>”);</w:t>
      </w:r>
    </w:p>
    <w:p>
      <w:pPr>
        <w:spacing w:after="0" w:line="184" w:lineRule="exact"/>
        <w:rPr>
          <w:sz w:val="20"/>
          <w:szCs w:val="20"/>
          <w:color w:val="auto"/>
        </w:rPr>
      </w:pPr>
    </w:p>
    <w:p>
      <w:pPr>
        <w:jc w:val="both"/>
        <w:ind w:left="200" w:right="219" w:firstLine="1296"/>
        <w:spacing w:after="0" w:line="260" w:lineRule="auto"/>
        <w:rPr>
          <w:sz w:val="20"/>
          <w:szCs w:val="20"/>
          <w:color w:val="auto"/>
        </w:rPr>
      </w:pPr>
      <w:r>
        <w:rPr>
          <w:rFonts w:ascii="Arial" w:cs="Arial" w:eastAsia="Arial" w:hAnsi="Arial"/>
          <w:sz w:val="20"/>
          <w:szCs w:val="20"/>
          <w:color w:val="auto"/>
        </w:rPr>
        <w:t>WHEREAS, pursuant to, and in accordance with, Section 10.6 of the License Agreement, Century and CDI desire that the License Agreement be amended as set forth herein.</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THEREFORE, in consideration of the mutual covenants and conditions set forth in this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Second Amendment, it is agreed as follows:</w:t>
      </w:r>
    </w:p>
    <w:p>
      <w:pPr>
        <w:spacing w:after="0" w:line="208" w:lineRule="exact"/>
        <w:rPr>
          <w:sz w:val="20"/>
          <w:szCs w:val="20"/>
          <w:color w:val="auto"/>
        </w:rPr>
      </w:pPr>
    </w:p>
    <w:p>
      <w:pPr>
        <w:ind w:left="860" w:hanging="651"/>
        <w:spacing w:after="0"/>
        <w:tabs>
          <w:tab w:leader="none" w:pos="86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Amendments to the License Agreement</w:t>
      </w:r>
      <w:r>
        <w:rPr>
          <w:rFonts w:ascii="Arial" w:cs="Arial" w:eastAsia="Arial" w:hAnsi="Arial"/>
          <w:sz w:val="20"/>
          <w:szCs w:val="20"/>
          <w:color w:val="auto"/>
        </w:rPr>
        <w:t>.</w:t>
      </w:r>
    </w:p>
    <w:p>
      <w:pPr>
        <w:spacing w:after="0" w:line="229"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Section 1.34 of the License Agreement shall be amended and restated as follows:</w:t>
      </w:r>
    </w:p>
    <w:p>
      <w:pPr>
        <w:spacing w:after="0" w:line="210" w:lineRule="exact"/>
        <w:rPr>
          <w:sz w:val="20"/>
          <w:szCs w:val="20"/>
          <w:color w:val="auto"/>
        </w:rPr>
      </w:pPr>
    </w:p>
    <w:p>
      <w:pPr>
        <w:jc w:val="both"/>
        <w:ind w:left="200" w:right="219" w:firstLine="1296"/>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cancer immunotherapy products (for the treatment of cancer in humans) consisting of cells that are or are modifications of T cells, NK cells, dendritic cells, macrophages, and monocytes derived from human iPSC (including TiPSC). For the sake of clarity, such “modifications” exclude materials or substances extracted, isolated from, or secreted by, such modified or unmodified cells.</w:t>
      </w:r>
    </w:p>
    <w:p>
      <w:pPr>
        <w:spacing w:after="0" w:line="167"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Section 1.19 of the License Agreement shall be amended and restated as follows:</w:t>
      </w:r>
    </w:p>
    <w:p>
      <w:pPr>
        <w:spacing w:after="0" w:line="210" w:lineRule="exact"/>
        <w:rPr>
          <w:sz w:val="20"/>
          <w:szCs w:val="20"/>
          <w:color w:val="auto"/>
        </w:rPr>
      </w:pPr>
    </w:p>
    <w:p>
      <w:pPr>
        <w:jc w:val="both"/>
        <w:ind w:left="200" w:right="219" w:firstLine="1296"/>
        <w:spacing w:after="0" w:line="4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Exploit</w:t>
      </w:r>
      <w:r>
        <w:rPr>
          <w:rFonts w:ascii="Arial" w:cs="Arial" w:eastAsia="Arial" w:hAnsi="Arial"/>
          <w:sz w:val="16"/>
          <w:szCs w:val="16"/>
          <w:color w:val="auto"/>
        </w:rPr>
        <w:t>” or “</w:t>
      </w:r>
      <w:r>
        <w:rPr>
          <w:rFonts w:ascii="Arial" w:cs="Arial" w:eastAsia="Arial" w:hAnsi="Arial"/>
          <w:sz w:val="16"/>
          <w:szCs w:val="16"/>
          <w:b w:val="1"/>
          <w:bCs w:val="1"/>
          <w:color w:val="auto"/>
        </w:rPr>
        <w:t>Exploitation</w:t>
      </w:r>
      <w:r>
        <w:rPr>
          <w:rFonts w:ascii="Arial" w:cs="Arial" w:eastAsia="Arial" w:hAnsi="Arial"/>
          <w:sz w:val="16"/>
          <w:szCs w:val="16"/>
          <w:color w:val="auto"/>
        </w:rPr>
        <w:t>” means, with respect to a particular Licensed Product or CDI CDMO Product, as the case may be, to make, have made, use, have used, manufacture, have manufactured,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257175</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0" w:name="page61"/>
    <w:bookmarkEnd w:id="60"/>
    <w:p>
      <w:pPr>
        <w:jc w:val="both"/>
        <w:ind w:left="200" w:right="219"/>
        <w:spacing w:after="0" w:line="257" w:lineRule="auto"/>
        <w:rPr>
          <w:sz w:val="20"/>
          <w:szCs w:val="20"/>
          <w:color w:val="auto"/>
        </w:rPr>
      </w:pPr>
      <w:r>
        <w:rPr>
          <w:rFonts w:ascii="Arial" w:cs="Arial" w:eastAsia="Arial" w:hAnsi="Arial"/>
          <w:sz w:val="20"/>
          <w:szCs w:val="20"/>
          <w:color w:val="auto"/>
        </w:rPr>
        <w:t>sell, have sold, offer for sale, have offered for sale, import, have imported, export and have exported, including to research, develop, commercialize or otherwise exploit such Licensed Product or CDI CDMO Product.</w:t>
      </w:r>
    </w:p>
    <w:p>
      <w:pPr>
        <w:spacing w:after="0" w:line="180" w:lineRule="exact"/>
        <w:rPr>
          <w:sz w:val="20"/>
          <w:szCs w:val="20"/>
          <w:color w:val="auto"/>
        </w:rPr>
      </w:pPr>
    </w:p>
    <w:p>
      <w:pPr>
        <w:jc w:val="both"/>
        <w:ind w:left="200" w:right="219" w:firstLine="648"/>
        <w:spacing w:after="0" w:line="293" w:lineRule="auto"/>
        <w:rPr>
          <w:sz w:val="20"/>
          <w:szCs w:val="20"/>
          <w:color w:val="auto"/>
        </w:rPr>
      </w:pPr>
      <w:r>
        <w:rPr>
          <w:rFonts w:ascii="Arial" w:cs="Arial" w:eastAsia="Arial" w:hAnsi="Arial"/>
          <w:sz w:val="18"/>
          <w:szCs w:val="18"/>
          <w:color w:val="auto"/>
        </w:rPr>
        <w:t>1.3. After giving effect to the amendments contemplated in Sections 1.1 and 1.2 above, Article 1 of the License Agreement shall be amended to add the following definitions, in appropriate alphabetical and numerical order, and the section numbers of Article 1 of the License Agreement and all cross references thereto in the License Agreement are hereby updated to reflect the addition of such defined terms:</w:t>
      </w:r>
    </w:p>
    <w:p>
      <w:pPr>
        <w:spacing w:after="0" w:line="144" w:lineRule="exact"/>
        <w:rPr>
          <w:sz w:val="20"/>
          <w:szCs w:val="20"/>
          <w:color w:val="auto"/>
        </w:rPr>
      </w:pPr>
    </w:p>
    <w:p>
      <w:pPr>
        <w:jc w:val="both"/>
        <w:ind w:left="200" w:right="219" w:firstLine="1296"/>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CDI CDMO Customer</w:t>
      </w:r>
      <w:r>
        <w:rPr>
          <w:rFonts w:ascii="Arial" w:cs="Arial" w:eastAsia="Arial" w:hAnsi="Arial"/>
          <w:sz w:val="20"/>
          <w:szCs w:val="20"/>
          <w:color w:val="auto"/>
        </w:rPr>
        <w:t>” means a Third Party who receives CDI CDMO Services and cells or other deliverables generated in the performance of CDI CDMO Services.</w:t>
      </w:r>
    </w:p>
    <w:p>
      <w:pPr>
        <w:spacing w:after="0" w:line="150" w:lineRule="exact"/>
        <w:rPr>
          <w:sz w:val="20"/>
          <w:szCs w:val="20"/>
          <w:color w:val="auto"/>
        </w:rPr>
      </w:pPr>
    </w:p>
    <w:p>
      <w:pPr>
        <w:jc w:val="both"/>
        <w:ind w:left="200" w:right="219"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CDI CDMO Services</w:t>
      </w:r>
      <w:r>
        <w:rPr>
          <w:rFonts w:ascii="Arial" w:cs="Arial" w:eastAsia="Arial" w:hAnsi="Arial"/>
          <w:sz w:val="20"/>
          <w:szCs w:val="20"/>
          <w:color w:val="auto"/>
        </w:rPr>
        <w:t>” means contract services provided by or on behalf of CDI to research, develop or manufacture CDI CDMO Products for any Third Party.</w:t>
      </w:r>
    </w:p>
    <w:p>
      <w:pPr>
        <w:spacing w:after="0" w:line="177" w:lineRule="exact"/>
        <w:rPr>
          <w:sz w:val="20"/>
          <w:szCs w:val="20"/>
          <w:color w:val="auto"/>
        </w:rPr>
      </w:pPr>
    </w:p>
    <w:p>
      <w:pPr>
        <w:jc w:val="both"/>
        <w:ind w:left="200" w:right="219"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CDI CDMO Product</w:t>
      </w:r>
      <w:r>
        <w:rPr>
          <w:rFonts w:ascii="Arial" w:cs="Arial" w:eastAsia="Arial" w:hAnsi="Arial"/>
          <w:sz w:val="20"/>
          <w:szCs w:val="20"/>
          <w:color w:val="auto"/>
        </w:rPr>
        <w:t>” means products for the treatment of diseases in humans, including products consisting of cells that are or are modifications of T cells, NK cells, dendritic cells, macrophages or monocytes. For the sake of clarity, such “modifications” exclude materials or substances extracted, isolated from, or secreted by, such modified or unmodified cells.</w:t>
      </w:r>
    </w:p>
    <w:p>
      <w:pPr>
        <w:spacing w:after="0" w:line="191" w:lineRule="exact"/>
        <w:rPr>
          <w:sz w:val="20"/>
          <w:szCs w:val="20"/>
          <w:color w:val="auto"/>
        </w:rPr>
      </w:pPr>
    </w:p>
    <w:p>
      <w:pPr>
        <w:jc w:val="both"/>
        <w:ind w:left="200" w:right="219" w:firstLine="1296"/>
        <w:spacing w:after="0" w:line="290" w:lineRule="auto"/>
        <w:rPr>
          <w:sz w:val="20"/>
          <w:szCs w:val="20"/>
          <w:color w:val="auto"/>
        </w:rPr>
      </w:pPr>
      <w:r>
        <w:rPr>
          <w:rFonts w:ascii="Arial" w:cs="Arial" w:eastAsia="Arial" w:hAnsi="Arial"/>
          <w:sz w:val="18"/>
          <w:szCs w:val="18"/>
          <w:b w:val="1"/>
          <w:bCs w:val="1"/>
          <w:color w:val="auto"/>
        </w:rPr>
        <w:t xml:space="preserve">“Non-Exclusive Differentiation License Agreement” </w:t>
      </w:r>
      <w:r>
        <w:rPr>
          <w:rFonts w:ascii="Arial" w:cs="Arial" w:eastAsia="Arial" w:hAnsi="Arial"/>
          <w:sz w:val="18"/>
          <w:szCs w:val="18"/>
          <w:color w:val="auto"/>
        </w:rPr>
        <w:t>means a certain agreement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between the Parties on September 22, 2023 under which CDI grants a non-exclusive license to Century under certain patent rights and know-how related to human iPSC-derived T cells, NK cells, dendritic cells, macrophages and monocytes under the terms and conditions set forth therein and as may be amended.</w:t>
      </w:r>
    </w:p>
    <w:p>
      <w:pPr>
        <w:spacing w:after="0" w:line="153"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Section 2.2(d) of the License Agreement shall be amended and restated as follows:</w:t>
      </w:r>
    </w:p>
    <w:p>
      <w:pPr>
        <w:spacing w:after="0" w:line="229" w:lineRule="exact"/>
        <w:rPr>
          <w:sz w:val="20"/>
          <w:szCs w:val="20"/>
          <w:color w:val="auto"/>
        </w:rPr>
      </w:pPr>
    </w:p>
    <w:p>
      <w:pPr>
        <w:jc w:val="both"/>
        <w:ind w:left="860" w:right="219" w:firstLine="648"/>
        <w:spacing w:after="0" w:line="268" w:lineRule="auto"/>
        <w:rPr>
          <w:sz w:val="20"/>
          <w:szCs w:val="20"/>
          <w:color w:val="auto"/>
        </w:rPr>
      </w:pPr>
      <w:r>
        <w:rPr>
          <w:rFonts w:ascii="Arial" w:cs="Arial" w:eastAsia="Arial" w:hAnsi="Arial"/>
          <w:sz w:val="19"/>
          <w:szCs w:val="19"/>
          <w:color w:val="auto"/>
        </w:rPr>
        <w:t>“(d) a fully paid-up, non-exclusive, non-transferable (except in accordance with Section 10.3), sublicensable (with the ability to sublicense through multiple tiers) worldwide license under the Century Licensed Technology and Century Manufacturing Technology for manufacturing and process development activities outside of the Field for any cell type.”</w:t>
      </w:r>
    </w:p>
    <w:p>
      <w:pPr>
        <w:spacing w:after="0" w:line="185"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Section 2.6(a) of the License Agreement shall be amended and restated as follows:</w:t>
      </w:r>
    </w:p>
    <w:p>
      <w:pPr>
        <w:spacing w:after="0" w:line="216" w:lineRule="exact"/>
        <w:rPr>
          <w:sz w:val="20"/>
          <w:szCs w:val="20"/>
          <w:color w:val="auto"/>
        </w:rPr>
      </w:pPr>
    </w:p>
    <w:p>
      <w:pPr>
        <w:jc w:val="both"/>
        <w:ind w:left="860" w:right="219" w:firstLine="648"/>
        <w:spacing w:after="0" w:line="247" w:lineRule="auto"/>
        <w:rPr>
          <w:sz w:val="20"/>
          <w:szCs w:val="20"/>
          <w:color w:val="auto"/>
        </w:rPr>
      </w:pPr>
      <w:r>
        <w:rPr>
          <w:rFonts w:ascii="Arial" w:cs="Arial" w:eastAsia="Arial" w:hAnsi="Arial"/>
          <w:sz w:val="20"/>
          <w:szCs w:val="20"/>
          <w:color w:val="auto"/>
        </w:rPr>
        <w:t>“(a) For the avoidance of doubt and notwithstanding anything to the contrary in this Agreement, CDI retains the right to use and practice the Licensed Technology (i) to Exploit the Licensed Products in the Field outside the Territory, (ii) to Exploit the Licensed Products outside the Field, (iii) to manufacture and have manufactured the Licensed Products in the Field anywhere in the world, and (iv) for CDI CDMO Services. For the avoidance of doubt and notwithstanding anything to the contrary in this Agreement, CDI also retains the right to license the Licensed Technology to CDI CDMO Customers for the Exploitation of CDI CDMO Products by CDI CDMO Customers with the right to sublicense (with the ability to sublicense through multiple tiers) such rights.”</w:t>
      </w:r>
    </w:p>
    <w:p>
      <w:pPr>
        <w:spacing w:after="0" w:line="205" w:lineRule="exact"/>
        <w:rPr>
          <w:sz w:val="20"/>
          <w:szCs w:val="20"/>
          <w:color w:val="auto"/>
        </w:rPr>
      </w:pPr>
    </w:p>
    <w:p>
      <w:pPr>
        <w:ind w:left="200" w:right="239" w:firstLine="9"/>
        <w:spacing w:after="0" w:line="260" w:lineRule="auto"/>
        <w:tabs>
          <w:tab w:leader="none" w:pos="848"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Pursuant to, and in accordance with Section 10.2 of the License Agreement, as of the Second Amendment Effective Date, each Party’s contact information is as follows:</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If to CDI:</w:t>
      </w:r>
    </w:p>
    <w:p>
      <w:pPr>
        <w:spacing w:after="0" w:line="216"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FUJIFILM Cellular Dynamics, Inc.</w:t>
      </w:r>
    </w:p>
    <w:p>
      <w:pPr>
        <w:spacing w:after="0" w:line="20"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465 Science Drive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1" w:name="page62"/>
    <w:bookmarkEnd w:id="61"/>
    <w:p>
      <w:pPr>
        <w:ind w:left="2160"/>
        <w:spacing w:after="0"/>
        <w:rPr>
          <w:sz w:val="20"/>
          <w:szCs w:val="20"/>
          <w:color w:val="auto"/>
        </w:rPr>
      </w:pPr>
      <w:r>
        <w:rPr>
          <w:rFonts w:ascii="Arial" w:cs="Arial" w:eastAsia="Arial" w:hAnsi="Arial"/>
          <w:sz w:val="20"/>
          <w:szCs w:val="20"/>
          <w:color w:val="auto"/>
        </w:rPr>
        <w:t>Madison, WI 53711</w:t>
      </w:r>
    </w:p>
    <w:p>
      <w:pPr>
        <w:spacing w:after="0" w:line="17"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Attention: Director, Intellectual Property</w:t>
      </w:r>
    </w:p>
    <w:p>
      <w:pPr>
        <w:spacing w:after="0" w:line="4"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Email: fcdi-licensing@cellulardynamics.com</w:t>
      </w:r>
    </w:p>
    <w:p>
      <w:pPr>
        <w:spacing w:after="0" w:line="23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With a copy to:</w:t>
      </w:r>
    </w:p>
    <w:p>
      <w:pPr>
        <w:spacing w:after="0" w:line="243"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FUJIFILM Cellular Dynamics, Inc.</w:t>
      </w:r>
    </w:p>
    <w:p>
      <w:pPr>
        <w:spacing w:after="0" w:line="16"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465 Science Drive</w:t>
      </w:r>
    </w:p>
    <w:p>
      <w:pPr>
        <w:spacing w:after="0" w:line="4"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Madison, WI 53711</w:t>
      </w:r>
    </w:p>
    <w:p>
      <w:pPr>
        <w:spacing w:after="0" w:line="8"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Attention: General Counsel</w:t>
      </w:r>
    </w:p>
    <w:p>
      <w:pPr>
        <w:spacing w:after="0" w:line="227"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and</w:t>
      </w:r>
    </w:p>
    <w:p>
      <w:pPr>
        <w:spacing w:after="0" w:line="243"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Email: legaldepartment@fujifilm.com</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If to Century:</w:t>
      </w:r>
    </w:p>
    <w:p>
      <w:pPr>
        <w:spacing w:after="0" w:line="229"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Century Therapeutics, Inc.</w:t>
      </w:r>
    </w:p>
    <w:p>
      <w:pPr>
        <w:ind w:left="2160"/>
        <w:spacing w:after="0" w:line="182" w:lineRule="auto"/>
        <w:rPr>
          <w:sz w:val="20"/>
          <w:szCs w:val="20"/>
          <w:color w:val="auto"/>
        </w:rPr>
      </w:pPr>
      <w:r>
        <w:rPr>
          <w:rFonts w:ascii="Arial" w:cs="Arial" w:eastAsia="Arial" w:hAnsi="Arial"/>
          <w:sz w:val="19"/>
          <w:szCs w:val="19"/>
          <w:color w:val="auto"/>
        </w:rPr>
        <w:t>25 N. 38</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Street, 11</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Floor</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Philadelphia, PA 19104</w:t>
      </w:r>
    </w:p>
    <w:p>
      <w:pPr>
        <w:spacing w:after="0" w:line="4"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Attention: General Counsel</w:t>
      </w:r>
    </w:p>
    <w:p>
      <w:pPr>
        <w:spacing w:after="0" w:line="8"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Email: legal@centurytx.com</w:t>
      </w:r>
    </w:p>
    <w:p>
      <w:pPr>
        <w:spacing w:after="0" w:line="227" w:lineRule="exact"/>
        <w:rPr>
          <w:sz w:val="20"/>
          <w:szCs w:val="20"/>
          <w:color w:val="auto"/>
        </w:rPr>
      </w:pPr>
    </w:p>
    <w:p>
      <w:pPr>
        <w:ind w:left="860" w:hanging="651"/>
        <w:spacing w:after="0"/>
        <w:tabs>
          <w:tab w:leader="none" w:pos="86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Effect of this Second Amendment</w:t>
      </w:r>
      <w:r>
        <w:rPr>
          <w:rFonts w:ascii="Arial" w:cs="Arial" w:eastAsia="Arial" w:hAnsi="Arial"/>
          <w:sz w:val="19"/>
          <w:szCs w:val="19"/>
          <w:color w:val="auto"/>
        </w:rPr>
        <w:t>. This Second Amendment amends the terms of the License Agreement, as previously amended, and is deemed incorporated into, and governed by all other terms of, the License Agreement. To the extent that the License Agreement is explicitly amended by this Second Amendment, the terms of this Second Amendment will control where the terms of the License Agreement are contrary to or conflict with the terms of this Second Amendment. All other terms and conditions of the License Agreement not explicitly amended by this Second Amendment shall remain in full force and effect. The License Agreement shall, together with the First Amendment and this Second Amendment, be read and construed as a single instrument.</w:t>
      </w:r>
    </w:p>
    <w:p>
      <w:pPr>
        <w:spacing w:after="0" w:line="177"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Counterparts</w:t>
      </w:r>
      <w:r>
        <w:rPr>
          <w:rFonts w:ascii="Arial" w:cs="Arial" w:eastAsia="Arial" w:hAnsi="Arial"/>
          <w:sz w:val="20"/>
          <w:szCs w:val="20"/>
          <w:color w:val="auto"/>
        </w:rPr>
        <w:t>. This Second Amendment may be signed in any number of counterparts, including facsimile copies thereof or electronic scan copies thereof delivered by electronic mail, each of which shall be deemed an original, with the same effect as if the signatures thereto and hereto were upon the same instrument.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2" w:name="page63"/>
    <w:bookmarkEnd w:id="62"/>
    <w:p>
      <w:pPr>
        <w:ind w:left="200" w:right="439" w:firstLine="1296"/>
        <w:spacing w:after="0" w:line="266"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Second Amendment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Amendment Effective Date.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CENTURY THERAPEUTICS, INC.</w:t>
      </w:r>
    </w:p>
    <w:p>
      <w:pPr>
        <w:spacing w:after="0" w:line="200" w:lineRule="exact"/>
        <w:rPr>
          <w:sz w:val="20"/>
          <w:szCs w:val="20"/>
          <w:color w:val="auto"/>
        </w:rPr>
      </w:pPr>
    </w:p>
    <w:p>
      <w:pPr>
        <w:spacing w:after="0" w:line="25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 Russotti, Ph.D.</w:t>
      </w:r>
    </w:p>
    <w:p>
      <w:pPr>
        <w:spacing w:after="0" w:line="1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Greg Russotti, Ph.D.</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Title:  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FUJIFILM CELLULAR DYNAMICS INC.</w:t>
      </w:r>
    </w:p>
    <w:p>
      <w:pPr>
        <w:spacing w:after="0" w:line="200" w:lineRule="exact"/>
        <w:rPr>
          <w:sz w:val="20"/>
          <w:szCs w:val="20"/>
          <w:color w:val="auto"/>
        </w:rPr>
      </w:pPr>
    </w:p>
    <w:p>
      <w:pPr>
        <w:spacing w:after="0" w:line="23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Tomoyuki Hasegawa</w:t>
      </w:r>
    </w:p>
    <w:p>
      <w:pPr>
        <w:spacing w:after="0" w:line="1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Tomoyuki Hasegawa</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Amendment to License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Gregory Russotti, certify that:</w:t>
      </w:r>
    </w:p>
    <w:p>
      <w:pPr>
        <w:spacing w:after="0" w:line="117"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of Century Therapeutics, Inc.;</w:t>
      </w:r>
    </w:p>
    <w:p>
      <w:pPr>
        <w:spacing w:after="0" w:line="117"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880" w:right="20" w:hanging="440"/>
        <w:spacing w:after="0" w:line="263"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740" w:hanging="436"/>
        <w:spacing w:after="0" w:line="277" w:lineRule="auto"/>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Gregory Russotti,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Gregory Russotti, Ph.D.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Interim President and 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ACTIVE/123125527.3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Diem, certify that:</w:t>
      </w:r>
    </w:p>
    <w:p>
      <w:pPr>
        <w:spacing w:after="0" w:line="117"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of Century Therapeutics, Inc.;</w:t>
      </w:r>
    </w:p>
    <w:p>
      <w:pPr>
        <w:spacing w:after="0" w:line="117"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880" w:right="20" w:hanging="440"/>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740" w:hanging="436"/>
        <w:spacing w:after="0" w:line="277" w:lineRule="auto"/>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ACTIVE/123125576.3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Quarterly Report of Century Therapeutics, Inc. (the “Company”) on Form 10-Q for the quarter ended September 30,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7"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Gregory Russotti,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Gregory Russotti, Ph.D.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Interim President and 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Quarterly Report of Century Therapeutics, Inc. (the “Company”) on Form 10-Q for the quarter ended September 30,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7"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lowerRoman"/>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04"/>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2"/>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decimal"/>
      <w:start w:val="3"/>
    </w:lvl>
  </w:abstractNum>
  <w:abstractNum w:abstractNumId="21">
    <w:nsid w:val="189A769B"/>
    <w:multiLevelType w:val="hybridMultilevel"/>
    <w:lvl w:ilvl="0">
      <w:lvlJc w:val="left"/>
      <w:lvlText w:val="%1."/>
      <w:numFmt w:val="decimal"/>
      <w:start w:val="4"/>
    </w:lvl>
  </w:abstractNum>
  <w:abstractNum w:abstractNumId="22">
    <w:nsid w:val="54E49EB4"/>
    <w:multiLevelType w:val="hybridMultilevel"/>
    <w:lvl w:ilvl="0">
      <w:lvlJc w:val="left"/>
      <w:lvlText w:val="(%1)"/>
      <w:numFmt w:val="lowerRoman"/>
      <w:start w:val="1"/>
    </w:lvl>
  </w:abstractNum>
  <w:abstractNum w:abstractNumId="23">
    <w:nsid w:val="71F32454"/>
    <w:multiLevelType w:val="hybridMultilevel"/>
    <w:lvl w:ilvl="0">
      <w:lvlJc w:val="left"/>
      <w:lvlText w:val="(%1)"/>
      <w:numFmt w:val="lowerRoman"/>
      <w:start w:val="2"/>
    </w:lvl>
    <w:lvl w:ilvl="1">
      <w:lvlJc w:val="left"/>
      <w:lvlText w:val="(%2)"/>
      <w:numFmt w:val="upperLetter"/>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2"/>
    </w:lvl>
  </w:abstractNum>
  <w:abstractNum w:abstractNumId="26">
    <w:nsid w:val="2901D82"/>
    <w:multiLevelType w:val="hybridMultilevel"/>
    <w:lvl w:ilvl="0">
      <w:lvlJc w:val="left"/>
      <w:lvlText w:val="%1."/>
      <w:numFmt w:val="decimal"/>
      <w:start w:val="3"/>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2023-11-09T06:22:34Z</dcterms:created>
  <dcterms:modified xsi:type="dcterms:W3CDTF">2023-11-09T06:22:34Z</dcterms:modified>
</cp:coreProperties>
</file>