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5030d1_8k.htm"/>
      <w:bookmarkStart w:id="1" w:name="kstm2625030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90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September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Century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2495"/>
        <w:gridCol w:w="60"/>
        <w:gridCol w:w="2210"/>
        <w:gridCol w:w="60"/>
        <w:gridCol w:w="1535"/>
      </w:tblGrid>
      <w:tr>
        <w:trPr/>
        <w:tc>
          <w:tcPr>
            <w:tcW w:w="2495" w:type="dxa"/>
            <w:tcBorders/>
            <w:vAlign w:val="center"/>
          </w:tcPr>
          <w:p>
            <w:pPr>
              <w:pStyle w:val="TableContents"/>
              <w:bidi w:val="0"/>
              <w:spacing w:before="0" w:after="283"/>
              <w:jc w:val="center"/>
              <w:rPr>
                <w:b/>
                <w:sz w:val="20"/>
              </w:rPr>
            </w:pPr>
            <w:bookmarkStart w:id="5" w:name="xdx_909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7_edei--EntityFileNumber_c20260909"/>
            <w:bookmarkEnd w:id="6"/>
            <w:r>
              <w:rPr>
                <w:b/>
                <w:sz w:val="20"/>
              </w:rPr>
              <w:t>001-40498</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A_edei--EntityTaxIdentificationNum"/>
            <w:bookmarkEnd w:id="7"/>
            <w:r>
              <w:rPr>
                <w:b/>
                <w:sz w:val="20"/>
              </w:rPr>
              <w:t>84-2040295</w:t>
            </w:r>
          </w:p>
        </w:tc>
      </w:tr>
      <w:tr>
        <w:trPr/>
        <w:tc>
          <w:tcPr>
            <w:tcW w:w="2495" w:type="dxa"/>
            <w:tcBorders/>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25 North 38th Street</w:t>
            </w:r>
            <w:r>
              <w:rPr>
                <w:rFonts w:ascii="Times New Roman;Times;Serif" w:hAnsi="Times New Roman;Times;Serif"/>
                <w:b w:val="false"/>
                <w:i w:val="false"/>
                <w:caps w:val="false"/>
                <w:smallCaps w:val="false"/>
                <w:sz w:val="20"/>
              </w:rPr>
              <w:t xml:space="preserve">, </w:t>
            </w:r>
            <w:bookmarkStart w:id="9" w:name="xdx_90A_edei--EntityAddressAddressLine2_"/>
            <w:bookmarkEnd w:id="9"/>
            <w:r>
              <w:rPr>
                <w:rFonts w:ascii="Times New Roman;Times;Serif" w:hAnsi="Times New Roman;Times;Serif"/>
                <w:b/>
                <w:i w:val="false"/>
                <w:caps w:val="false"/>
                <w:smallCaps w:val="false"/>
                <w:sz w:val="20"/>
              </w:rPr>
              <w:t>12th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Philadelphia, </w:t>
            </w:r>
            <w:bookmarkStart w:id="11" w:name="xdx_903_edei--EntityAddressStateOrProvin"/>
            <w:bookmarkEnd w:id="11"/>
            <w:r>
              <w:rPr>
                <w:rFonts w:ascii="Times New Roman;Times;Serif" w:hAnsi="Times New Roman;Times;Serif"/>
                <w:b/>
                <w:i w:val="false"/>
                <w:caps w:val="false"/>
                <w:smallCaps w:val="false"/>
                <w:sz w:val="20"/>
              </w:rPr>
              <w:t xml:space="preserve">Pennsylvania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1_edei--EntityAddressPostalZipCode"/>
            <w:bookmarkEnd w:id="12"/>
            <w:r>
              <w:rPr>
                <w:b/>
                <w:sz w:val="20"/>
              </w:rPr>
              <w:t>19104</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8_edei--CityAreaCode_c20260909__20"/>
      <w:bookmarkEnd w:id="13"/>
      <w:r>
        <w:rPr>
          <w:rFonts w:ascii="Times New Roman;Times;Serif" w:hAnsi="Times New Roman;Times;Serif"/>
          <w:b/>
          <w:i w:val="false"/>
          <w:caps w:val="false"/>
          <w:smallCaps w:val="false"/>
          <w:sz w:val="20"/>
        </w:rPr>
        <w:t xml:space="preserve">267) </w:t>
      </w:r>
      <w:bookmarkStart w:id="14" w:name="xdx_90C_edei--LocalPhoneNumber_c20260909"/>
      <w:bookmarkEnd w:id="14"/>
      <w:r>
        <w:rPr>
          <w:rFonts w:ascii="Times New Roman;Times;Serif" w:hAnsi="Times New Roman;Times;Serif"/>
          <w:b/>
          <w:i w:val="false"/>
          <w:caps w:val="false"/>
          <w:smallCaps w:val="false"/>
          <w:sz w:val="20"/>
        </w:rPr>
        <w:t>817-5790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1_edei--WrittenCommunications_c202"/>
            <w:bookmarkEnd w:id="15"/>
            <w:r>
              <w:rPr>
                <w:caps w:val="false"/>
                <w:smallCaps w:val="false"/>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6" w:name="xdx_90B_edei--SolicitingMaterial_c202609"/>
            <w:bookmarkEnd w:id="16"/>
            <w:r>
              <w:rPr>
                <w:caps w:val="false"/>
                <w:smallCaps w:val="false"/>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7" w:name="xdx_902_edei--PreCommencementTenderOffer"/>
            <w:bookmarkEnd w:id="17"/>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8" w:name="xdx_90D_edei--PreCommencementIssuerTende"/>
            <w:bookmarkEnd w:id="18"/>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3785"/>
        <w:gridCol w:w="60"/>
        <w:gridCol w:w="1415"/>
        <w:gridCol w:w="60"/>
        <w:gridCol w:w="3425"/>
      </w:tblGrid>
      <w:tr>
        <w:trPr/>
        <w:tc>
          <w:tcPr>
            <w:tcW w:w="378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425" w:type="dxa"/>
            <w:tcBorders>
              <w:bottom w:val="single" w:sz="8" w:space="0" w:color="000000"/>
            </w:tcBorders>
            <w:vAlign w:val="center"/>
          </w:tcPr>
          <w:p>
            <w:pPr>
              <w:pStyle w:val="TableContents"/>
              <w:bidi w:val="0"/>
              <w:spacing w:before="0" w:after="283"/>
              <w:jc w:val="center"/>
              <w:rPr>
                <w:b/>
                <w:sz w:val="20"/>
              </w:rPr>
            </w:pPr>
            <w:r>
              <w:rPr>
                <w:b/>
                <w:sz w:val="20"/>
              </w:rPr>
              <w:t>Name of Exchange on Which Registered</w:t>
            </w:r>
          </w:p>
        </w:tc>
      </w:tr>
      <w:tr>
        <w:trPr/>
        <w:tc>
          <w:tcPr>
            <w:tcW w:w="3785" w:type="dxa"/>
            <w:tcBorders/>
            <w:tcMar>
              <w:bottom w:w="0" w:type="dxa"/>
            </w:tcMar>
            <w:vAlign w:val="center"/>
          </w:tcPr>
          <w:p>
            <w:pPr>
              <w:pStyle w:val="TableContents"/>
              <w:bidi w:val="0"/>
              <w:spacing w:before="0" w:after="283"/>
              <w:jc w:val="center"/>
              <w:rPr>
                <w:b/>
                <w:sz w:val="20"/>
              </w:rPr>
            </w:pPr>
            <w:bookmarkStart w:id="19" w:name="xdx_90B_edei--Security12bTitle_c20260909"/>
            <w:bookmarkEnd w:id="19"/>
            <w:r>
              <w:rPr>
                <w:b/>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b/>
                <w:sz w:val="20"/>
              </w:rPr>
            </w:pPr>
            <w:bookmarkStart w:id="20" w:name="xdx_90C_edei--TradingSymbol_c20260909__2"/>
            <w:bookmarkEnd w:id="20"/>
            <w:r>
              <w:rPr>
                <w:b/>
                <w:sz w:val="20"/>
              </w:rPr>
              <w:t>IPSC</w:t>
            </w:r>
          </w:p>
        </w:tc>
        <w:tc>
          <w:tcPr>
            <w:tcW w:w="60" w:type="dxa"/>
            <w:tcBorders/>
            <w:tcMar>
              <w:bottom w:w="0" w:type="dxa"/>
            </w:tcMar>
            <w:vAlign w:val="center"/>
          </w:tcPr>
          <w:p>
            <w:pPr>
              <w:pStyle w:val="TableContents"/>
              <w:bidi w:val="0"/>
              <w:spacing w:before="0" w:after="283"/>
              <w:jc w:val="left"/>
              <w:rPr/>
            </w:pPr>
            <w:r>
              <w:rPr/>
              <w:t> </w:t>
            </w:r>
          </w:p>
        </w:tc>
        <w:tc>
          <w:tcPr>
            <w:tcW w:w="3425" w:type="dxa"/>
            <w:tcBorders/>
            <w:tcMar>
              <w:bottom w:w="0" w:type="dxa"/>
            </w:tcMar>
            <w:vAlign w:val="center"/>
          </w:tcPr>
          <w:p>
            <w:pPr>
              <w:pStyle w:val="TableContents"/>
              <w:bidi w:val="0"/>
              <w:spacing w:before="0" w:after="283"/>
              <w:jc w:val="center"/>
              <w:rPr>
                <w:b/>
                <w:sz w:val="20"/>
              </w:rPr>
            </w:pPr>
            <w:bookmarkStart w:id="21" w:name="xdx_901_edei--SecurityExchangeName_c2026"/>
            <w:bookmarkEnd w:id="21"/>
            <w:r>
              <w:rPr>
                <w:b/>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D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1"/>
        <w:gridCol w:w="9484"/>
      </w:tblGrid>
      <w:tr>
        <w:trPr/>
        <w:tc>
          <w:tcPr>
            <w:tcW w:w="72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w:t>
            </w:r>
          </w:p>
        </w:tc>
        <w:tc>
          <w:tcPr>
            <w:tcW w:w="948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the Board of Directors (the “Board”) of Century Therapeutics, Inc. (the “Company”), upon the recommendation of the Nominating and Corporate Governance Committee of the Board, increased its size from six to seven directors and appointed Mr. Joseph Truitt as a member of the Board, effective as of September 9, 2026 (the “Effective Date”). Mr. Truitt will serve as a Class I director with a term expiring at the 2028 Annual Meeting of Stockholders, or until his successor is duly elected and qualified or until his earlier resignation, death or removal. Mr. Truitt will serve as a member of the Compensation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Truitt, 62, currently serves as Chief Executive Officer of iECURE, Inc., a gene editing company, a role he has held since March 2021. Since May 2020, Mr. Truitt has served as a member of the board of directors of Larimar Therapeutics, Inc. (Nasdaq: LRMR). Mr. Truitt has also served as a director of Code Biotherapeutics, Inc., a gene therapy development company, since December 2020. From May 2018 until April 2020, Mr. Truitt served as President, Chief Executive Officer and member of the board of directors of Achillion Pharmaceuticals, Inc. (“Achillion”, formerly Nasdaq: ACHN), a clinical-stage biopharmaceutical company developing small molecule drug therapies for immune system disorders, which was acquired by Alexion Pharmaceuticals, Inc., a global biopharmaceutical company, in January 2020. From April 2020 through December 2020, Mr. Truitt served as Chief Executive Officer of BioSpecifics Technologies Corp. (formerly Nasdaq: BSTC), a biopharmaceutical company that develops collagenase-based therapies, which was acquired by Endo International plc in December 2020. Before joining Achillion, from July 2006 to December 2008, Mr. Truitt served as Vice President, Business Development and Product Strategy of Lev Pharmaceuticals, Inc. and, from 2000 to 2006, he served as Vice President, Sales and Operations of Johnson &amp; Johnson – OraPharma, Inc. Prior to this, Mr. Truitt spent nine years at TAP Pharmaceuticals Inc. in a variety of sales and marketing roles before a two-year role as a consultant at IMS Health Inc. Mr. Truitt received his B.S. in Marketing from La Salle University and his M.B.A. from St. Joseph’s University in Pharmaceutical Marketing. Mr. Truitt previously was a Captain in the United States Marine Corps.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Truitt will be compensated for his service as a non-employee director pursuant to the Company’s Non-Employee Director Compensation Policy. Mr. Truitt will receive an initial option award to purchase 148,000 shares of the Company’s common stock pursuant to the Company’s 2021 Equity Incentive Plan (the “Initial Option Grant”). The Initial Option Grant shall vest in equal monthly installments over a period of 36 months following the Effective Date, subject to Mr. Truitt’s continued service with the Company. Mr. Truitt is also entitled to receive an annual cash retainer of $40,000 as a member of the Board. The Company entered into an indemnification agreement with Mr. Truitt in substantially the same form as those entered into with the other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Mr. Truitt is an independent director under the applicable Nasdaq listing rules. There are no family relationships between Mr. Truitt and any of the directors or executive officers of the Company, and there are no transactions in which Mr. Truitt has a direct or indirect material interest requiring disclosure under Item 404(a) of Regulation S-K. There is no arrangement or understanding between Mr. Truitt and any other person pursuant to which Mr. Truitt was selected as a director of the Company.</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830"/>
        <w:gridCol w:w="2195"/>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w:t>
            </w:r>
          </w:p>
        </w:tc>
        <w:tc>
          <w:tcPr>
            <w:tcW w:w="21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the Company issued a press release announcing the appointment to the Board as discussed above. The full text of this press release is attached hereto as Exhibit 99.1 and is incorporated by reference herein. The information in this Item 7.01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to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28" w:type="dxa"/>
          <w:right w:w="0" w:type="dxa"/>
        </w:tblCellMar>
      </w:tblPr>
      <w:tblGrid>
        <w:gridCol w:w="665"/>
        <w:gridCol w:w="60"/>
        <w:gridCol w:w="648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center"/>
              <w:rPr/>
            </w:pPr>
            <w:r>
              <w:rPr/>
              <w:t> </w:t>
            </w:r>
          </w:p>
        </w:tc>
        <w:tc>
          <w:tcPr>
            <w:tcW w:w="64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Document</w:t>
            </w:r>
          </w:p>
        </w:tc>
      </w:tr>
      <w:tr>
        <w:trPr/>
        <w:tc>
          <w:tcPr>
            <w:tcW w:w="665" w:type="dxa"/>
            <w:tcBorders/>
            <w:tcMar>
              <w:bottom w:w="0" w:type="dxa"/>
            </w:tcMar>
            <w:vAlign w:val="center"/>
          </w:tcPr>
          <w:p>
            <w:pPr>
              <w:pStyle w:val="TableContents"/>
              <w:bidi w:val="0"/>
              <w:spacing w:before="0" w:after="283"/>
              <w:jc w:val="left"/>
              <w:rPr/>
            </w:pPr>
            <w:hyperlink w:anchor="tm262503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25030d1_ex99-1.htm">
              <w:r>
                <w:rPr>
                  <w:rStyle w:val="InternetLink"/>
                  <w:rFonts w:ascii="Times New Roman;Times;Serif" w:hAnsi="Times New Roman;Times;Serif"/>
                  <w:sz w:val="20"/>
                </w:rPr>
                <w:t>Press Release of Century Therapeutics, Inc., dated September 9, 2026</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560"/>
        <w:gridCol w:w="6005"/>
        <w:gridCol w:w="75"/>
      </w:tblGrid>
      <w:tr>
        <w:trPr/>
        <w:tc>
          <w:tcPr>
            <w:tcW w:w="65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CENTURY THERAPEUTICS,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Brent Pfeiffenberger, Pharm.D., M.B.A.</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Brent Pfeiffenberger, Pharm.D., M.B.A.</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Chief Executive Officer and Chairman of the Board of Directors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1" w:hanging="0"/>
        <w:jc w:val="center"/>
        <w:rPr>
          <w:caps w:val="false"/>
          <w:smallCaps w:val="false"/>
        </w:rPr>
      </w:pPr>
      <w:bookmarkStart w:id="24" w:name="tm2625030d1_ex99-1.htm"/>
      <w:bookmarkStart w:id="25" w:name="kstm2625030d1_ex991"/>
      <w:bookmarkEnd w:id="24"/>
      <w:bookmarkEnd w:id="25"/>
      <w:r>
        <w:rPr>
          <w:caps w:val="false"/>
          <w:smallCaps w:val="false"/>
        </w:rPr>
        <w:t> </w:t>
      </w:r>
      <w:r>
        <w:br w:type="page"/>
      </w:r>
    </w:p>
    <w:p>
      <w:pPr>
        <w:pStyle w:val="TextBody"/>
        <w:bidi w:val="0"/>
        <w:spacing w:before="0" w:after="0"/>
        <w:ind w:left="1" w:right="1"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1" w:right="1" w:hanging="0"/>
        <w:jc w:val="center"/>
        <w:rPr>
          <w:caps w:val="false"/>
          <w:smallCaps w:val="false"/>
        </w:rPr>
      </w:pPr>
      <w:r>
        <w:rPr>
          <w:caps w:val="false"/>
          <w:smallCaps w:val="false"/>
        </w:rPr>
        <w:t> </w:t>
      </w:r>
    </w:p>
    <w:p>
      <w:pPr>
        <w:pStyle w:val="TextBody"/>
        <w:bidi w:val="0"/>
        <w:spacing w:before="0" w:after="0"/>
        <w:ind w:left="1"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Century Therapeutics Appoints Joseph Truitt to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PHILADELPHIA, September 9, 2026 </w:t>
      </w:r>
      <w:r>
        <w:rPr>
          <w:rFonts w:ascii="Times New Roman;Times;Serif" w:hAnsi="Times New Roman;Times;Serif"/>
          <w:b w:val="false"/>
          <w:i w:val="false"/>
          <w:caps w:val="false"/>
          <w:smallCaps w:val="false"/>
          <w:sz w:val="20"/>
        </w:rPr>
        <w:t>- Century Therapeutics, Inc. (‘Century’, NASDAQ: IPSC), a biotechnology company developing induced pluripotent stem cell (iPSC)-derived cell therapies for autoimmune diseases, including type 1 diabetes (T1D), and cancer, today announced the appointment of Joseph Truitt to its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Truitt currently serves as Chief Executive Officer and a member of the Board of Directors of iECURE, Inc., a clinical-stage biotechnology company advancing genome-editing therapies for rare, life-threatening genetic diseases. He is Chairman of the Board of Larimar Therapeutics (NASDAQ: LRMR) and a member of the Board of Directors of Code Biotherapeutics. Truitt previously served as Chief Executive Officer of BioSpecifics Technologies Corp. until its acquisition by Endo International plc in December 2020. Prior to BioSpecifics, Truitt spent more than a decade at Achillion Pharmaceuticals, where he held positions of increasing responsibility, including Chief Commercial Officer, Chief Operating Officer and Chief Executive Officer, before the company's acquisition by Alexion Pharmaceuticals in January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Truitt served as a Captain in the United States Marine Corps. He holds an MBA from Saint Joseph's University and a BS from La Salle University.</w:t>
      </w:r>
    </w:p>
    <w:p>
      <w:pPr>
        <w:pStyle w:val="TextBody"/>
        <w:bidi w:val="0"/>
        <w:spacing w:before="0" w:after="0"/>
        <w:ind w:left="59" w:right="59" w:hanging="0"/>
        <w:jc w:val="left"/>
        <w:rPr>
          <w:caps w:val="false"/>
          <w:smallCaps w:val="false"/>
        </w:rPr>
      </w:pPr>
      <w:r>
        <w:rPr>
          <w:caps w:val="false"/>
          <w:smallCaps w:val="false"/>
        </w:rPr>
        <w:t> </w:t>
      </w:r>
    </w:p>
    <w:p>
      <w:pPr>
        <w:pStyle w:val="TextBody"/>
        <w:bidi w:val="0"/>
        <w:spacing w:before="0" w:after="0"/>
        <w:ind w:left="59" w:right="59"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Joe brings a rare combination of commercial leadership and global operational discipline to our board, having built and scaled multiple biotechnology organizations through periods of significant growth and transition,” said Brent Pfeiffenberger, Pharm.D., Chief Executive Officer of Century Therapeutics. “As we advance CNTY-813 toward IND submission and CNTY-308 toward clinical entry this year, his experience building teams and infrastructure across geographies will be a valuable resource for Century.”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comes as Century advances two programs toward key milestones. CNTY-813, an iPSC-derived islet replacement therapy for T1D, remains on track for an IND submission in the fourth quarter of 2026, following a pre-IND meeting with the FDA that yielded alignment on the nonclinical data package, manufacturing strategy, and proposed Phase 1/2 trial design.</w:t>
      </w:r>
    </w:p>
    <w:p>
      <w:pPr>
        <w:pStyle w:val="TextBody"/>
        <w:bidi w:val="0"/>
        <w:spacing w:before="0" w:after="0"/>
        <w:ind w:left="111" w:right="111" w:hanging="0"/>
        <w:jc w:val="both"/>
        <w:rPr>
          <w:caps w:val="false"/>
          <w:smallCaps w:val="false"/>
        </w:rPr>
      </w:pPr>
      <w:r>
        <w:rPr>
          <w:caps w:val="false"/>
          <w:smallCaps w:val="false"/>
        </w:rPr>
        <w:t> </w:t>
      </w:r>
    </w:p>
    <w:p>
      <w:pPr>
        <w:pStyle w:val="TextBody"/>
        <w:bidi w:val="0"/>
        <w:spacing w:before="0" w:after="0"/>
        <w:ind w:left="111" w:right="111"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CNTY-308, a CD19-targeted CD4+/CD8+ αβ CAR-iT cell therapy for B-cell-mediated diseases, is anticipated to enter the clinic in 2026. Both programs are engineered with Century’s industry-leading Allo-Evasion™ 5.0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Century Therapeutics</w:t>
      </w:r>
    </w:p>
    <w:p>
      <w:pPr>
        <w:pStyle w:val="TextBody"/>
        <w:bidi w:val="0"/>
        <w:spacing w:before="0" w:after="0"/>
        <w:ind w:left="31" w:right="31" w:hanging="0"/>
        <w:jc w:val="left"/>
        <w:rPr>
          <w:caps w:val="false"/>
          <w:smallCaps w:val="false"/>
        </w:rPr>
      </w:pPr>
      <w:r>
        <w:rPr>
          <w:caps w:val="false"/>
          <w:smallCaps w:val="false"/>
        </w:rPr>
        <w:t> </w:t>
      </w:r>
    </w:p>
    <w:p>
      <w:pPr>
        <w:pStyle w:val="TextBody"/>
        <w:bidi w:val="0"/>
        <w:spacing w:before="0" w:after="0"/>
        <w:ind w:left="31" w:right="3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Century Therapeutics (NASDAQ: IPSC) is a biotechnology company advancing a pipeline of induced pluripotent stem cell (iPSC)-derived cell therapies with the potential to meaningfully address autoimmune diseases, including type 1 diabetes, and cancer. Century’s therapies are derived from its iPSC cell foundry and leverage its novel immune evasion engineering technology, Allo-Evasion™. Century believes its approach to developing off-the-shelf cell therapies will expand patient access and provide advantages over existing cell therapies which will ultimately advance the course of care. For more information on Century Therapeutics, please visit www.centurytx.com and connect with us on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about our timing and expectations regarding our preclinical and clinical development programs, including planned development of CNTY-813 and CNTY-308, therapeutic potential and market opportunity, ongoing and planned regulatory submissions and interactions, the achievement of developmental milestones, corporate strategies, and anticipated data readouts,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ability to meet development milestones on anticipated timelines; uncertainties inherent in the results of preliminary data, and pre-clinical studies, which may not be predictive of final results or the results of clinical trials; our ability to obtain clearance of our future IND or CTA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trade disputes and tariffs,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before="0" w:after="0"/>
        <w:ind w:left="78" w:right="78" w:hanging="0"/>
        <w:jc w:val="left"/>
        <w:rPr>
          <w:caps w:val="false"/>
          <w:smallCaps w:val="false"/>
        </w:rPr>
      </w:pPr>
      <w:r>
        <w:rPr>
          <w:caps w:val="false"/>
          <w:smallCaps w:val="false"/>
        </w:rPr>
        <w:t> </w:t>
      </w:r>
    </w:p>
    <w:p>
      <w:pPr>
        <w:pStyle w:val="TextBody"/>
        <w:bidi w:val="0"/>
        <w:spacing w:before="0" w:after="0"/>
        <w:ind w:left="78" w:right="7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ind w:left="7062" w:right="7062" w:hanging="0"/>
        <w:jc w:val="both"/>
        <w:rPr>
          <w:caps w:val="false"/>
          <w:smallCaps w:val="false"/>
        </w:rPr>
      </w:pPr>
      <w:r>
        <w:rPr>
          <w:caps w:val="false"/>
          <w:smallCaps w:val="false"/>
        </w:rPr>
        <w:t> </w:t>
      </w:r>
    </w:p>
    <w:p>
      <w:pPr>
        <w:pStyle w:val="TextBody"/>
        <w:bidi w:val="0"/>
        <w:spacing w:before="0" w:after="0"/>
        <w:ind w:left="7062" w:right="7062"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w:t>
      </w:r>
    </w:p>
    <w:p>
      <w:pPr>
        <w:pStyle w:val="TextBody"/>
        <w:bidi w:val="0"/>
        <w:spacing w:before="0" w:after="0"/>
        <w:ind w:left="7062" w:right="7062"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Century Therapeutics</w:t>
      </w:r>
    </w:p>
    <w:p>
      <w:pPr>
        <w:pStyle w:val="TextBody"/>
        <w:bidi w:val="0"/>
        <w:spacing w:before="0" w:after="0"/>
        <w:ind w:left="7062" w:right="706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Carr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LifeSci Advisors,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Corey Davis, Ph.D.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212-915-2577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2212</Words>
  <Characters>12836</Characters>
  <CharactersWithSpaces>15058</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