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CENTURY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#15673T100</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#15673T100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3,606,013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3,612,551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3,612,551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6.037%</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#15673T100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3,612,551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3,612,551</w:t>
      </w:r>
    </w:p>
    <w:p>
      <w:pPr>
        <w:spacing w:after="0"/>
        <w:rPr>
          <w:sz w:val="20"/>
          <w:szCs w:val="20"/>
          <w:color w:val="auto"/>
        </w:rPr>
      </w:pPr>
      <w:r>
        <w:rPr>
          <w:rFonts w:ascii="Courier New" w:cs="Courier New" w:eastAsia="Courier New" w:hAnsi="Courier New"/>
          <w:sz w:val="18"/>
          <w:szCs w:val="18"/>
          <w:color w:val="auto"/>
        </w:rPr>
        <w:t>Item 11: 6.037%</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CENTURY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3675 MARKET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PHILADELPHIA, PA 19104</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15673T100</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3,612,551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6.037%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3,612,551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CENTURY THERAPEUTICS INC. No one other person's interest in the COMMON STOCK of CENTURY THERAPEUTICS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133" w:gutter="0" w:footer="0" w:header="0"/>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CENTURY THERAPEUTICS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2024-02-09T07:56:47Z</dcterms:created>
  <dcterms:modified xsi:type="dcterms:W3CDTF">2024-02-09T07:56:47Z</dcterms:modified>
</cp:coreProperties>
</file>