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Cowan Chad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19104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03/11/2025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19,500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230,306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10,697</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0.601</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03/11/2025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03/11/2035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Issuer common stock. The RSUs vest 25% on March 11, 2026, with the remaining 75% vesting on a quarterly basis for the three years thereafter, in each case subject the Reporting Person's continued service through the applicable vesting date. The RSUs will be settled on each applicable vesting date in shares of the Issuer's common stock.</w:t>
      </w:r>
    </w:p>
    <w:p>
      <w:pPr>
        <w:spacing w:after="0" w:line="26"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Cowan Investment Nominee Trust. The Reporting Person disclaims beneficial ownership except to the extent of any pecuniary interest therein, and this report shall not be deemed an admission that such shares are beneficially owned by him for Section 16 or any other purpose.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11, 2026, with the remaining 75% vesting in 36 equal monthly installments, subject to the Reporting Person's continued service through each applicable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03/12/2025</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9294"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2025-03-12T18:34:25Z</dcterms:created>
  <dcterms:modified xsi:type="dcterms:W3CDTF">2025-03-12T18:34:25Z</dcterms:modified>
</cp:coreProperties>
</file>