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2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8"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70" w:lineRule="exact"/>
        <w:rPr>
          <w:sz w:val="24"/>
          <w:szCs w:val="24"/>
          <w:color w:val="auto"/>
        </w:rPr>
      </w:pPr>
    </w:p>
    <w:p>
      <w:pPr>
        <w:ind w:left="700" w:hanging="326"/>
        <w:spacing w:after="0"/>
        <w:tabs>
          <w:tab w:leader="none" w:pos="7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2023</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700" w:right="419" w:hanging="326"/>
        <w:spacing w:after="0" w:line="296" w:lineRule="auto"/>
        <w:tabs>
          <w:tab w:leader="none" w:pos="7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2900" w:type="dxa"/>
        <w:tblCellMar>
          <w:top w:w="0" w:type="dxa"/>
          <w:left w:w="0" w:type="dxa"/>
          <w:bottom w:w="0" w:type="dxa"/>
          <w:right w:w="0" w:type="dxa"/>
        </w:tblCellMar>
      </w:tblPr>
      <w:tr>
        <w:trPr>
          <w:trHeight w:val="141"/>
        </w:trPr>
        <w:tc>
          <w:tcPr>
            <w:tcW w:w="1800" w:type="dxa"/>
            <w:vAlign w:val="bottom"/>
          </w:tcPr>
          <w:p>
            <w:pPr>
              <w:spacing w:after="0" w:line="141" w:lineRule="exact"/>
              <w:rPr>
                <w:sz w:val="20"/>
                <w:szCs w:val="20"/>
                <w:color w:val="auto"/>
              </w:rPr>
            </w:pPr>
            <w:r>
              <w:rPr>
                <w:rFonts w:ascii="Arial" w:cs="Arial" w:eastAsia="Arial" w:hAnsi="Arial"/>
                <w:sz w:val="13"/>
                <w:szCs w:val="13"/>
                <w:b w:val="1"/>
                <w:bCs w:val="1"/>
                <w:color w:val="auto"/>
                <w:w w:val="97"/>
              </w:rPr>
              <w:t>For the transition period from</w:t>
            </w:r>
          </w:p>
        </w:tc>
        <w:tc>
          <w:tcPr>
            <w:tcW w:w="660" w:type="dxa"/>
            <w:vAlign w:val="bottom"/>
            <w:tcBorders>
              <w:bottom w:val="single" w:sz="8" w:color="auto"/>
            </w:tcBorders>
          </w:tcPr>
          <w:p>
            <w:pPr>
              <w:spacing w:after="0"/>
              <w:rPr>
                <w:sz w:val="12"/>
                <w:szCs w:val="12"/>
                <w:color w:val="auto"/>
              </w:rPr>
            </w:pPr>
          </w:p>
        </w:tc>
        <w:tc>
          <w:tcPr>
            <w:tcW w:w="200" w:type="dxa"/>
            <w:vAlign w:val="bottom"/>
          </w:tcPr>
          <w:p>
            <w:pPr>
              <w:ind w:left="80"/>
              <w:spacing w:after="0" w:line="141" w:lineRule="exact"/>
              <w:rPr>
                <w:sz w:val="20"/>
                <w:szCs w:val="20"/>
                <w:color w:val="auto"/>
              </w:rPr>
            </w:pPr>
            <w:r>
              <w:rPr>
                <w:rFonts w:ascii="Arial" w:cs="Arial" w:eastAsia="Arial" w:hAnsi="Arial"/>
                <w:sz w:val="13"/>
                <w:szCs w:val="13"/>
                <w:b w:val="1"/>
                <w:bCs w:val="1"/>
                <w:color w:val="auto"/>
                <w:w w:val="81"/>
              </w:rPr>
              <w:t>to</w:t>
            </w:r>
          </w:p>
        </w:tc>
        <w:tc>
          <w:tcPr>
            <w:tcW w:w="560" w:type="dxa"/>
            <w:vAlign w:val="bottom"/>
            <w:tcBorders>
              <w:bottom w:val="single" w:sz="8" w:color="auto"/>
            </w:tcBorders>
          </w:tcPr>
          <w:p>
            <w:pPr>
              <w:spacing w:after="0"/>
              <w:rPr>
                <w:sz w:val="12"/>
                <w:szCs w:val="12"/>
                <w:color w:val="auto"/>
              </w:rPr>
            </w:pPr>
          </w:p>
        </w:tc>
      </w:tr>
      <w:tr>
        <w:trPr>
          <w:trHeight w:val="215"/>
        </w:trPr>
        <w:tc>
          <w:tcPr>
            <w:tcW w:w="3220" w:type="dxa"/>
            <w:vAlign w:val="bottom"/>
            <w:gridSpan w:val="4"/>
          </w:tcPr>
          <w:p>
            <w:pPr>
              <w:ind w:left="540"/>
              <w:spacing w:after="0"/>
              <w:rPr>
                <w:sz w:val="20"/>
                <w:szCs w:val="20"/>
                <w:color w:val="auto"/>
              </w:rPr>
            </w:pPr>
            <w:r>
              <w:rPr>
                <w:rFonts w:ascii="Arial" w:cs="Arial" w:eastAsia="Arial" w:hAnsi="Arial"/>
                <w:sz w:val="13"/>
                <w:szCs w:val="13"/>
                <w:b w:val="1"/>
                <w:bCs w:val="1"/>
                <w:color w:val="auto"/>
              </w:rPr>
              <w:t>Commission file number: 001-40498</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54" w:lineRule="exact"/>
        <w:rPr>
          <w:sz w:val="24"/>
          <w:szCs w:val="24"/>
          <w:color w:val="auto"/>
        </w:rPr>
      </w:pPr>
    </w:p>
    <w:tbl>
      <w:tblPr>
        <w:tblLayout w:type="fixed"/>
        <w:tblInd w:w="1400" w:type="dxa"/>
        <w:tblCellMar>
          <w:top w:w="0" w:type="dxa"/>
          <w:left w:w="0" w:type="dxa"/>
          <w:bottom w:w="0" w:type="dxa"/>
          <w:right w:w="0" w:type="dxa"/>
        </w:tblCellMar>
      </w:tblPr>
      <w:tr>
        <w:trPr>
          <w:trHeight w:val="149"/>
        </w:trPr>
        <w:tc>
          <w:tcPr>
            <w:tcW w:w="4920" w:type="dxa"/>
            <w:vAlign w:val="bottom"/>
          </w:tcPr>
          <w:p>
            <w:pPr>
              <w:jc w:val="center"/>
              <w:ind w:right="2697"/>
              <w:spacing w:after="0"/>
              <w:rPr>
                <w:sz w:val="20"/>
                <w:szCs w:val="20"/>
                <w:color w:val="auto"/>
              </w:rPr>
            </w:pPr>
            <w:r>
              <w:rPr>
                <w:rFonts w:ascii="Arial" w:cs="Arial" w:eastAsia="Arial" w:hAnsi="Arial"/>
                <w:sz w:val="13"/>
                <w:szCs w:val="13"/>
                <w:b w:val="1"/>
                <w:bCs w:val="1"/>
                <w:color w:val="auto"/>
                <w:w w:val="98"/>
              </w:rPr>
              <w:t>Delaware</w:t>
            </w:r>
          </w:p>
        </w:tc>
        <w:tc>
          <w:tcPr>
            <w:tcW w:w="1200" w:type="dxa"/>
            <w:vAlign w:val="bottom"/>
          </w:tcPr>
          <w:p>
            <w:pPr>
              <w:jc w:val="right"/>
              <w:ind w:right="77"/>
              <w:spacing w:after="0"/>
              <w:rPr>
                <w:sz w:val="20"/>
                <w:szCs w:val="20"/>
                <w:color w:val="auto"/>
              </w:rPr>
            </w:pPr>
            <w:r>
              <w:rPr>
                <w:rFonts w:ascii="Arial" w:cs="Arial" w:eastAsia="Arial" w:hAnsi="Arial"/>
                <w:sz w:val="13"/>
                <w:szCs w:val="13"/>
                <w:b w:val="1"/>
                <w:bCs w:val="1"/>
                <w:color w:val="auto"/>
              </w:rPr>
              <w:t>84-2040295</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color w:val="auto"/>
                <w:w w:val="97"/>
              </w:rPr>
              <w:t>(State or other jurisdiction of</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6"/>
              </w:rPr>
              <w:t>(I.R.S. Employer</w:t>
            </w:r>
          </w:p>
        </w:tc>
      </w:tr>
      <w:tr>
        <w:trPr>
          <w:trHeight w:val="135"/>
        </w:trPr>
        <w:tc>
          <w:tcPr>
            <w:tcW w:w="4920" w:type="dxa"/>
            <w:vAlign w:val="bottom"/>
          </w:tcPr>
          <w:p>
            <w:pPr>
              <w:jc w:val="center"/>
              <w:ind w:right="2697"/>
              <w:spacing w:after="0" w:line="135" w:lineRule="exact"/>
              <w:rPr>
                <w:sz w:val="20"/>
                <w:szCs w:val="20"/>
                <w:color w:val="auto"/>
              </w:rPr>
            </w:pPr>
            <w:r>
              <w:rPr>
                <w:rFonts w:ascii="Arial" w:cs="Arial" w:eastAsia="Arial" w:hAnsi="Arial"/>
                <w:sz w:val="13"/>
                <w:szCs w:val="13"/>
                <w:color w:val="auto"/>
                <w:w w:val="96"/>
              </w:rPr>
              <w:t>incorporation or organization)</w:t>
            </w:r>
          </w:p>
        </w:tc>
        <w:tc>
          <w:tcPr>
            <w:tcW w:w="1200" w:type="dxa"/>
            <w:vAlign w:val="bottom"/>
          </w:tcPr>
          <w:p>
            <w:pPr>
              <w:jc w:val="center"/>
              <w:ind w:left="157"/>
              <w:spacing w:after="0" w:line="135" w:lineRule="exact"/>
              <w:rPr>
                <w:sz w:val="20"/>
                <w:szCs w:val="20"/>
                <w:color w:val="auto"/>
              </w:rPr>
            </w:pPr>
            <w:r>
              <w:rPr>
                <w:rFonts w:ascii="Arial" w:cs="Arial" w:eastAsia="Arial" w:hAnsi="Arial"/>
                <w:sz w:val="13"/>
                <w:szCs w:val="13"/>
                <w:color w:val="auto"/>
                <w:w w:val="96"/>
              </w:rPr>
              <w:t>Identification No.)</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b w:val="1"/>
                <w:bCs w:val="1"/>
                <w:color w:val="auto"/>
                <w:w w:val="96"/>
              </w:rPr>
              <w:t>25 N 38th Street, 11th Floor</w:t>
            </w:r>
          </w:p>
        </w:tc>
        <w:tc>
          <w:tcPr>
            <w:tcW w:w="12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19104</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b w:val="1"/>
                <w:bCs w:val="1"/>
                <w:color w:val="auto"/>
                <w:w w:val="97"/>
              </w:rPr>
              <w:t>Philadelphia, Pennsylvania</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7"/>
              </w:rPr>
              <w:t>(Zip Code)</w:t>
            </w:r>
          </w:p>
        </w:tc>
      </w:tr>
      <w:tr>
        <w:trPr>
          <w:trHeight w:val="166"/>
        </w:trPr>
        <w:tc>
          <w:tcPr>
            <w:tcW w:w="4920" w:type="dxa"/>
            <w:vAlign w:val="bottom"/>
          </w:tcPr>
          <w:p>
            <w:pPr>
              <w:jc w:val="center"/>
              <w:ind w:right="2697"/>
              <w:spacing w:after="0"/>
              <w:rPr>
                <w:sz w:val="20"/>
                <w:szCs w:val="20"/>
                <w:color w:val="auto"/>
              </w:rPr>
            </w:pPr>
            <w:r>
              <w:rPr>
                <w:rFonts w:ascii="Arial" w:cs="Arial" w:eastAsia="Arial" w:hAnsi="Arial"/>
                <w:sz w:val="13"/>
                <w:szCs w:val="13"/>
                <w:color w:val="auto"/>
                <w:w w:val="97"/>
              </w:rPr>
              <w:t>(Address of principal executive offices)</w:t>
            </w:r>
          </w:p>
        </w:tc>
        <w:tc>
          <w:tcPr>
            <w:tcW w:w="1200" w:type="dxa"/>
            <w:vAlign w:val="bottom"/>
          </w:tcPr>
          <w:p>
            <w:pPr>
              <w:spacing w:after="0"/>
              <w:rPr>
                <w:sz w:val="14"/>
                <w:szCs w:val="14"/>
                <w:color w:val="auto"/>
              </w:rPr>
            </w:pPr>
          </w:p>
        </w:tc>
      </w:tr>
      <w:tr>
        <w:trPr>
          <w:trHeight w:val="185"/>
        </w:trPr>
        <w:tc>
          <w:tcPr>
            <w:tcW w:w="4920" w:type="dxa"/>
            <w:vAlign w:val="bottom"/>
          </w:tcPr>
          <w:p>
            <w:pPr>
              <w:jc w:val="right"/>
              <w:ind w:right="1317"/>
              <w:spacing w:after="0"/>
              <w:rPr>
                <w:sz w:val="20"/>
                <w:szCs w:val="20"/>
                <w:color w:val="auto"/>
              </w:rPr>
            </w:pPr>
            <w:r>
              <w:rPr>
                <w:rFonts w:ascii="Arial" w:cs="Arial" w:eastAsia="Arial" w:hAnsi="Arial"/>
                <w:sz w:val="13"/>
                <w:szCs w:val="13"/>
                <w:b w:val="1"/>
                <w:bCs w:val="1"/>
                <w:color w:val="auto"/>
              </w:rPr>
              <w:t>(267) 817-5790</w:t>
            </w:r>
          </w:p>
        </w:tc>
        <w:tc>
          <w:tcPr>
            <w:tcW w:w="1200" w:type="dxa"/>
            <w:vAlign w:val="bottom"/>
          </w:tcPr>
          <w:p>
            <w:pPr>
              <w:spacing w:after="0"/>
              <w:rPr>
                <w:sz w:val="16"/>
                <w:szCs w:val="16"/>
                <w:color w:val="auto"/>
              </w:rPr>
            </w:pPr>
          </w:p>
        </w:tc>
      </w:tr>
      <w:tr>
        <w:trPr>
          <w:trHeight w:val="172"/>
        </w:trPr>
        <w:tc>
          <w:tcPr>
            <w:tcW w:w="4920" w:type="dxa"/>
            <w:vAlign w:val="bottom"/>
          </w:tcPr>
          <w:p>
            <w:pPr>
              <w:jc w:val="center"/>
              <w:ind w:left="1237"/>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2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52"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3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Title of each class</w:t>
            </w:r>
          </w:p>
        </w:tc>
        <w:tc>
          <w:tcPr>
            <w:tcW w:w="294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2840" w:type="dxa"/>
            <w:vAlign w:val="bottom"/>
            <w:gridSpan w:val="2"/>
            <w:vMerge w:val="restart"/>
          </w:tcPr>
          <w:p>
            <w:pPr>
              <w:jc w:val="center"/>
              <w:ind w:left="11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04"/>
        </w:trPr>
        <w:tc>
          <w:tcPr>
            <w:tcW w:w="3120" w:type="dxa"/>
            <w:vAlign w:val="bottom"/>
            <w:gridSpan w:val="2"/>
            <w:vMerge w:val="continue"/>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94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312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Common Stock, $0.0001 par value per share</w:t>
            </w:r>
          </w:p>
        </w:tc>
        <w:tc>
          <w:tcPr>
            <w:tcW w:w="2940" w:type="dxa"/>
            <w:vAlign w:val="bottom"/>
          </w:tcPr>
          <w:p>
            <w:pPr>
              <w:jc w:val="center"/>
              <w:spacing w:after="0"/>
              <w:rPr>
                <w:sz w:val="20"/>
                <w:szCs w:val="20"/>
                <w:color w:val="auto"/>
              </w:rPr>
            </w:pPr>
            <w:r>
              <w:rPr>
                <w:rFonts w:ascii="Arial" w:cs="Arial" w:eastAsia="Arial" w:hAnsi="Arial"/>
                <w:sz w:val="13"/>
                <w:szCs w:val="13"/>
                <w:color w:val="auto"/>
                <w:w w:val="98"/>
              </w:rPr>
              <w:t>IPSC</w:t>
            </w:r>
          </w:p>
        </w:tc>
        <w:tc>
          <w:tcPr>
            <w:tcW w:w="1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700" w:right="1019"/>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3" w:lineRule="exact"/>
        <w:rPr>
          <w:sz w:val="24"/>
          <w:szCs w:val="24"/>
          <w:color w:val="auto"/>
        </w:rPr>
      </w:pPr>
    </w:p>
    <w:p>
      <w:pPr>
        <w:ind w:left="60" w:right="259" w:firstLine="648"/>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99" w:firstLine="64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79" w:firstLine="64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500" w:type="dxa"/>
        <w:tblCellMar>
          <w:top w:w="0" w:type="dxa"/>
          <w:left w:w="0" w:type="dxa"/>
          <w:bottom w:w="0" w:type="dxa"/>
          <w:right w:w="0" w:type="dxa"/>
        </w:tblCellMar>
      </w:tblPr>
      <w:tr>
        <w:trPr>
          <w:trHeight w:val="155"/>
        </w:trPr>
        <w:tc>
          <w:tcPr>
            <w:tcW w:w="2780" w:type="dxa"/>
            <w:vAlign w:val="bottom"/>
          </w:tcPr>
          <w:p>
            <w:pPr>
              <w:jc w:val="center"/>
              <w:ind w:right="1317"/>
              <w:spacing w:after="0" w:line="150" w:lineRule="exact"/>
              <w:rPr>
                <w:sz w:val="20"/>
                <w:szCs w:val="20"/>
                <w:color w:val="auto"/>
              </w:rPr>
            </w:pPr>
            <w:r>
              <w:rPr>
                <w:rFonts w:ascii="Arial" w:cs="Arial" w:eastAsia="Arial" w:hAnsi="Arial"/>
                <w:sz w:val="13"/>
                <w:szCs w:val="13"/>
                <w:color w:val="auto"/>
                <w:w w:val="96"/>
              </w:rPr>
              <w:t xml:space="preserve">Large accelerated filer </w:t>
            </w:r>
            <w:r>
              <w:rPr>
                <w:rFonts w:ascii="MS PGothic" w:cs="MS PGothic" w:eastAsia="MS PGothic" w:hAnsi="MS PGothic"/>
                <w:sz w:val="13"/>
                <w:szCs w:val="13"/>
                <w:color w:val="auto"/>
                <w:w w:val="96"/>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Accelerated filer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1297"/>
              <w:spacing w:after="0" w:line="150" w:lineRule="exact"/>
              <w:rPr>
                <w:sz w:val="20"/>
                <w:szCs w:val="20"/>
                <w:color w:val="auto"/>
              </w:rPr>
            </w:pPr>
            <w:r>
              <w:rPr>
                <w:rFonts w:ascii="Arial" w:cs="Arial" w:eastAsia="Arial" w:hAnsi="Arial"/>
                <w:sz w:val="13"/>
                <w:szCs w:val="13"/>
                <w:color w:val="auto"/>
                <w:w w:val="95"/>
              </w:rPr>
              <w:t xml:space="preserve">Non-accelerated filer </w:t>
            </w:r>
            <w:r>
              <w:rPr>
                <w:rFonts w:ascii="MS PGothic" w:cs="MS PGothic" w:eastAsia="MS PGothic" w:hAnsi="MS PGothic"/>
                <w:sz w:val="13"/>
                <w:szCs w:val="13"/>
                <w:color w:val="auto"/>
                <w:w w:val="95"/>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Smaller reporting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Emerging growth company</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60" w:right="99" w:firstLine="64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3" w:lineRule="exact"/>
        <w:rPr>
          <w:sz w:val="24"/>
          <w:szCs w:val="24"/>
          <w:color w:val="auto"/>
        </w:rPr>
      </w:pPr>
    </w:p>
    <w:p>
      <w:pPr>
        <w:ind w:left="60" w:right="479" w:firstLine="648"/>
        <w:spacing w:after="0" w:line="25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prepared or issued its audit report. </w:t>
      </w:r>
      <w:r>
        <w:rPr>
          <w:rFonts w:ascii="MS PGothic" w:cs="MS PGothic" w:eastAsia="MS PGothic" w:hAnsi="MS PGothic"/>
          <w:sz w:val="13"/>
          <w:szCs w:val="13"/>
          <w:color w:val="auto"/>
        </w:rPr>
        <w:t>☐</w:t>
      </w:r>
    </w:p>
    <w:p>
      <w:pPr>
        <w:spacing w:after="0" w:line="57" w:lineRule="exact"/>
        <w:rPr>
          <w:sz w:val="24"/>
          <w:szCs w:val="24"/>
          <w:color w:val="auto"/>
        </w:rPr>
      </w:pPr>
    </w:p>
    <w:p>
      <w:pPr>
        <w:ind w:left="60" w:right="119" w:firstLine="648"/>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60" w:right="139" w:firstLine="683"/>
        <w:spacing w:after="0" w:line="167"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s executive officers during the relevant recovery period pursuant to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240.10D-1(b). </w:t>
      </w:r>
      <w:r>
        <w:rPr>
          <w:rFonts w:ascii="MS PGothic" w:cs="MS PGothic" w:eastAsia="MS PGothic" w:hAnsi="MS PGothic"/>
          <w:sz w:val="13"/>
          <w:szCs w:val="13"/>
          <w:color w:val="auto"/>
        </w:rPr>
        <w:t>☐</w:t>
      </w:r>
    </w:p>
    <w:p>
      <w:pPr>
        <w:spacing w:after="0" w:line="17" w:lineRule="exact"/>
        <w:rPr>
          <w:sz w:val="24"/>
          <w:szCs w:val="24"/>
          <w:color w:val="auto"/>
        </w:rPr>
      </w:pPr>
    </w:p>
    <w:p>
      <w:pPr>
        <w:ind w:left="7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ind w:left="700"/>
        <w:spacing w:after="0"/>
        <w:rPr>
          <w:sz w:val="20"/>
          <w:szCs w:val="20"/>
          <w:color w:val="auto"/>
        </w:rPr>
      </w:pPr>
      <w:r>
        <w:rPr>
          <w:rFonts w:ascii="Arial" w:cs="Arial" w:eastAsia="Arial" w:hAnsi="Arial"/>
          <w:sz w:val="12"/>
          <w:szCs w:val="12"/>
          <w:color w:val="auto"/>
        </w:rPr>
        <w:t>The aggregate market value of the registrant’s voting stock held by non-affiliates of the registrant was approximately $131,775,555 as of June 30,</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3"/>
          <w:szCs w:val="13"/>
          <w:color w:val="auto"/>
        </w:rPr>
        <w:t>2023.</w:t>
      </w:r>
    </w:p>
    <w:p>
      <w:pPr>
        <w:spacing w:after="0" w:line="55" w:lineRule="exact"/>
        <w:rPr>
          <w:sz w:val="24"/>
          <w:szCs w:val="24"/>
          <w:color w:val="auto"/>
        </w:rPr>
      </w:pPr>
    </w:p>
    <w:p>
      <w:pPr>
        <w:ind w:left="700"/>
        <w:spacing w:after="0"/>
        <w:rPr>
          <w:sz w:val="20"/>
          <w:szCs w:val="20"/>
          <w:color w:val="auto"/>
        </w:rPr>
      </w:pPr>
      <w:r>
        <w:rPr>
          <w:rFonts w:ascii="Arial" w:cs="Arial" w:eastAsia="Arial" w:hAnsi="Arial"/>
          <w:sz w:val="13"/>
          <w:szCs w:val="13"/>
          <w:color w:val="auto"/>
        </w:rPr>
        <w:t>As of February 29, 2024, the registrant had 64,817,863 shares of Common Stock, $0.0001 par value per share, outstanding.</w:t>
      </w:r>
    </w:p>
    <w:p>
      <w:pPr>
        <w:spacing w:after="0" w:line="80"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7" w:lineRule="exact"/>
        <w:rPr>
          <w:sz w:val="24"/>
          <w:szCs w:val="24"/>
          <w:color w:val="auto"/>
        </w:rPr>
      </w:pPr>
    </w:p>
    <w:p>
      <w:pPr>
        <w:ind w:left="60" w:right="79" w:firstLine="648"/>
        <w:spacing w:after="0" w:line="243" w:lineRule="auto"/>
        <w:rPr>
          <w:sz w:val="20"/>
          <w:szCs w:val="20"/>
          <w:color w:val="auto"/>
        </w:rPr>
      </w:pPr>
      <w:r>
        <w:rPr>
          <w:rFonts w:ascii="Arial" w:cs="Arial" w:eastAsia="Arial" w:hAnsi="Arial"/>
          <w:sz w:val="13"/>
          <w:szCs w:val="13"/>
          <w:color w:val="auto"/>
        </w:rPr>
        <w:t>Part III of this Annual Report on Form 10-K incorporates certain information by reference from the registrant’s definitive proxy statement for the 2024 annual meeting of shareholders to be filed no later than 120 days after the end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462280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41910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85090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p>
      <w:pPr>
        <w:ind w:left="260"/>
        <w:spacing w:after="0"/>
        <w:tabs>
          <w:tab w:leader="none" w:pos="8360" w:val="left"/>
        </w:tabs>
        <w:rPr>
          <w:sz w:val="20"/>
          <w:szCs w:val="20"/>
          <w:color w:val="auto"/>
        </w:rPr>
      </w:pPr>
      <w:r>
        <w:rPr>
          <w:rFonts w:ascii="Arial" w:cs="Arial" w:eastAsia="Arial" w:hAnsi="Arial"/>
          <w:sz w:val="16"/>
          <w:szCs w:val="16"/>
          <w:b w:val="1"/>
          <w:bCs w:val="1"/>
          <w:color w:val="auto"/>
        </w:rPr>
        <w:t>Item No.</w:t>
      </w:r>
      <w:r>
        <w:rPr>
          <w:sz w:val="20"/>
          <w:szCs w:val="20"/>
          <w:color w:val="auto"/>
        </w:rPr>
        <w:tab/>
      </w:r>
      <w:r>
        <w:rPr>
          <w:rFonts w:ascii="Arial" w:cs="Arial" w:eastAsia="Arial" w:hAnsi="Arial"/>
          <w:sz w:val="15"/>
          <w:szCs w:val="15"/>
          <w:b w:val="1"/>
          <w:bCs w:val="1"/>
          <w:color w:val="auto"/>
        </w:rPr>
        <w:t>Page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CAUTIONARY NOTE REGARDING FORWARD-LOOKING STATEMENTS</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w w:val="95"/>
              </w:rPr>
              <w:t>PART I</w:t>
            </w:r>
          </w:p>
        </w:tc>
        <w:tc>
          <w:tcPr>
            <w:tcW w:w="3500" w:type="dxa"/>
            <w:vAlign w:val="bottom"/>
            <w:gridSpan w:val="15"/>
          </w:tcPr>
          <w:p>
            <w:pPr>
              <w:spacing w:after="0"/>
              <w:rPr>
                <w:sz w:val="16"/>
                <w:szCs w:val="16"/>
                <w:color w:val="auto"/>
              </w:rPr>
            </w:pPr>
          </w:p>
        </w:tc>
      </w:tr>
      <w:tr>
        <w:trPr>
          <w:trHeight w:val="223"/>
        </w:trPr>
        <w:tc>
          <w:tcPr>
            <w:tcW w:w="1060" w:type="dxa"/>
            <w:vAlign w:val="bottom"/>
            <w:gridSpan w:val="4"/>
          </w:tcPr>
          <w:p>
            <w:pPr>
              <w:spacing w:after="0"/>
              <w:rPr>
                <w:sz w:val="20"/>
                <w:szCs w:val="20"/>
                <w:color w:val="auto"/>
              </w:rPr>
            </w:pPr>
            <w:r>
              <w:rPr>
                <w:rFonts w:ascii="Arial" w:cs="Arial" w:eastAsia="Arial" w:hAnsi="Arial"/>
                <w:sz w:val="16"/>
                <w:szCs w:val="16"/>
                <w:color w:val="0000EE"/>
              </w:rPr>
              <w:t>ITEM 1.</w:t>
            </w:r>
          </w:p>
        </w:tc>
        <w:tc>
          <w:tcPr>
            <w:tcW w:w="7040" w:type="dxa"/>
            <w:vAlign w:val="bottom"/>
            <w:gridSpan w:val="34"/>
          </w:tcPr>
          <w:p>
            <w:pPr>
              <w:spacing w:after="0"/>
              <w:rPr>
                <w:sz w:val="20"/>
                <w:szCs w:val="20"/>
                <w:color w:val="auto"/>
              </w:rPr>
            </w:pPr>
            <w:r>
              <w:rPr>
                <w:rFonts w:ascii="Arial" w:cs="Arial" w:eastAsia="Arial" w:hAnsi="Arial"/>
                <w:sz w:val="16"/>
                <w:szCs w:val="16"/>
                <w:color w:val="0000EE"/>
              </w:rPr>
              <w:t>BUSINESS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1A.</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RISK FACTORS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1B.</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UNRESOLVED STAFF COMMENTS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1C.</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CYBERSECURITY</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 w:type="dxa"/>
            <w:vAlign w:val="bottom"/>
            <w:gridSpan w:val="3"/>
          </w:tcPr>
          <w:p>
            <w:pPr>
              <w:spacing w:after="0" w:line="183" w:lineRule="exact"/>
              <w:rPr>
                <w:sz w:val="20"/>
                <w:szCs w:val="20"/>
                <w:color w:val="auto"/>
              </w:rPr>
            </w:pPr>
            <w:r>
              <w:rPr>
                <w:rFonts w:ascii="Arial" w:cs="Arial" w:eastAsia="Arial" w:hAnsi="Arial"/>
                <w:sz w:val="16"/>
                <w:szCs w:val="16"/>
                <w:color w:val="0000EE"/>
              </w:rPr>
              <w:t>ITEM 2.</w:t>
            </w:r>
          </w:p>
        </w:tc>
        <w:tc>
          <w:tcPr>
            <w:tcW w:w="340" w:type="dxa"/>
            <w:vAlign w:val="bottom"/>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PROPERTIES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3.</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LEGAL PROCEEDINGS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4.</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MINE SAFETY DISCLOSURES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16"/>
          </w:tcPr>
          <w:p>
            <w:pPr>
              <w:jc w:val="center"/>
              <w:ind w:right="3380"/>
              <w:spacing w:after="0" w:line="183" w:lineRule="exact"/>
              <w:rPr>
                <w:sz w:val="20"/>
                <w:szCs w:val="20"/>
                <w:color w:val="auto"/>
              </w:rPr>
            </w:pPr>
            <w:r>
              <w:rPr>
                <w:rFonts w:ascii="Arial" w:cs="Arial" w:eastAsia="Arial" w:hAnsi="Arial"/>
                <w:sz w:val="16"/>
                <w:szCs w:val="16"/>
                <w:b w:val="1"/>
                <w:bCs w:val="1"/>
                <w:color w:val="0000EE"/>
                <w:w w:val="98"/>
              </w:rPr>
              <w:t>PART II</w:t>
            </w: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5.</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MARKET FOR REGISTRANT’S COMMON EQUITY, RELATED STOCKHOLDER MATTERS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40" w:type="dxa"/>
            <w:vAlign w:val="bottom"/>
            <w:tcBorders>
              <w:top w:val="single" w:sz="8" w:color="0000EE"/>
              <w:bottom w:val="single" w:sz="8" w:color="0000EE"/>
            </w:tcBorders>
            <w:gridSpan w:val="19"/>
          </w:tcPr>
          <w:p>
            <w:pPr>
              <w:spacing w:after="0" w:line="169" w:lineRule="exact"/>
              <w:rPr>
                <w:sz w:val="20"/>
                <w:szCs w:val="20"/>
                <w:color w:val="auto"/>
              </w:rPr>
            </w:pPr>
            <w:r>
              <w:rPr>
                <w:rFonts w:ascii="Arial" w:cs="Arial" w:eastAsia="Arial" w:hAnsi="Arial"/>
                <w:sz w:val="16"/>
                <w:szCs w:val="16"/>
                <w:color w:val="0000EE"/>
              </w:rPr>
              <w:t>ISSUER PURCHASES OF EQUITY SECURITIES.</w:t>
            </w:r>
          </w:p>
        </w:tc>
        <w:tc>
          <w:tcPr>
            <w:tcW w:w="336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6.</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RESERVED</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7.</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MANAGEMENT’S DISCUSSION AND ANALYSIS OF FINANCIAL CONDITION AND RESULTS</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6"/>
                <w:szCs w:val="16"/>
                <w:color w:val="0000EE"/>
              </w:rPr>
              <w:t>OF OPERATIONS</w:t>
            </w:r>
          </w:p>
        </w:tc>
        <w:tc>
          <w:tcPr>
            <w:tcW w:w="180" w:type="dxa"/>
            <w:vAlign w:val="bottom"/>
            <w:gridSpan w:val="2"/>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7A.</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QUANTITATIVE AND QUALITATIVE DISCLOSURES ABOUT MARKET RISK</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rPr>
              <w:t>ITEM 8.</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FINANCIAL STATEMENTS AND SUPPLEMENTARY DATA</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9.</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CHANGES IN AND DISAGREEMENTS WITH ACCOUNTANTS ON ACCOUNTING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0000EE"/>
              </w:rPr>
              <w:t>FINANCIAL DISCLOSURE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9A.</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CONTROLS AND PROCEDURES</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9B.</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OTHER INFORMATION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9C.</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DISCLOSURE REGARDING FOREIGN JURISDICTIONS THAT PREVENT INSPECTIONS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80" w:type="dxa"/>
            <w:vAlign w:val="bottom"/>
            <w:tcBorders>
              <w:top w:val="single" w:sz="8" w:color="0000EE"/>
            </w:tcBorders>
            <w:gridSpan w:val="13"/>
          </w:tcPr>
          <w:p>
            <w:pPr>
              <w:jc w:val="center"/>
              <w:ind w:right="2880"/>
              <w:spacing w:after="0" w:line="183" w:lineRule="exact"/>
              <w:rPr>
                <w:sz w:val="20"/>
                <w:szCs w:val="20"/>
                <w:color w:val="auto"/>
              </w:rPr>
            </w:pPr>
            <w:r>
              <w:rPr>
                <w:rFonts w:ascii="Arial" w:cs="Arial" w:eastAsia="Arial" w:hAnsi="Arial"/>
                <w:sz w:val="16"/>
                <w:szCs w:val="16"/>
                <w:b w:val="1"/>
                <w:bCs w:val="1"/>
                <w:color w:val="0000EE"/>
                <w:w w:val="97"/>
              </w:rPr>
              <w:t>PART III</w:t>
            </w:r>
          </w:p>
        </w:tc>
        <w:tc>
          <w:tcPr>
            <w:tcW w:w="480" w:type="dxa"/>
            <w:vAlign w:val="bottom"/>
            <w:gridSpan w:val="4"/>
          </w:tcPr>
          <w:p>
            <w:pPr>
              <w:spacing w:after="0"/>
              <w:rPr>
                <w:sz w:val="15"/>
                <w:szCs w:val="15"/>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10.</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DIRECTORS, EXECUTIVE OFFICERS AND CORPORATE GOVERNANCE</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11.</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EXECUTIVE COMPENSATION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12.</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SECURITY OWNERSHIP OF CERTAIN BENEFICIAL OWNERS AND MANAGEMENT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800" w:type="dxa"/>
            <w:vAlign w:val="bottom"/>
            <w:tcBorders>
              <w:top w:val="single" w:sz="8" w:color="0000EE"/>
              <w:bottom w:val="single" w:sz="8" w:color="0000EE"/>
            </w:tcBorders>
            <w:gridSpan w:val="13"/>
          </w:tcPr>
          <w:p>
            <w:pPr>
              <w:spacing w:after="0" w:line="169" w:lineRule="exact"/>
              <w:rPr>
                <w:sz w:val="20"/>
                <w:szCs w:val="20"/>
                <w:color w:val="auto"/>
              </w:rPr>
            </w:pPr>
            <w:r>
              <w:rPr>
                <w:rFonts w:ascii="Arial" w:cs="Arial" w:eastAsia="Arial" w:hAnsi="Arial"/>
                <w:sz w:val="16"/>
                <w:szCs w:val="16"/>
                <w:color w:val="0000EE"/>
                <w:w w:val="98"/>
              </w:rPr>
              <w:t>RELATED STOCKHOLDER MATTERS</w:t>
            </w:r>
          </w:p>
        </w:tc>
        <w:tc>
          <w:tcPr>
            <w:tcW w:w="3800" w:type="dxa"/>
            <w:vAlign w:val="bottom"/>
            <w:tcBorders>
              <w:top w:val="single" w:sz="8" w:color="0000EE"/>
            </w:tcBorders>
            <w:gridSpan w:val="17"/>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13.</w:t>
            </w: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CERTAIN RELATIONSHIPS AND RELATED TRANSACTIONS, AND DIRECTOR</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INDEPENDENCE</w:t>
            </w:r>
          </w:p>
        </w:tc>
        <w:tc>
          <w:tcPr>
            <w:tcW w:w="1220" w:type="dxa"/>
            <w:vAlign w:val="bottom"/>
            <w:gridSpan w:val="6"/>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14.</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PRINCIPAL ACCOUNTING FEES AND SERVICES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40" w:type="dxa"/>
            <w:vAlign w:val="bottom"/>
            <w:tcBorders>
              <w:top w:val="single" w:sz="8" w:color="0000EE"/>
              <w:bottom w:val="single" w:sz="8" w:color="0000EE"/>
            </w:tcBorders>
            <w:gridSpan w:val="6"/>
          </w:tcPr>
          <w:p>
            <w:pPr>
              <w:jc w:val="center"/>
              <w:spacing w:after="0" w:line="183" w:lineRule="exact"/>
              <w:rPr>
                <w:sz w:val="20"/>
                <w:szCs w:val="20"/>
                <w:color w:val="auto"/>
              </w:rPr>
            </w:pPr>
            <w:r>
              <w:rPr>
                <w:rFonts w:ascii="Arial" w:cs="Arial" w:eastAsia="Arial" w:hAnsi="Arial"/>
                <w:sz w:val="16"/>
                <w:szCs w:val="16"/>
                <w:b w:val="1"/>
                <w:bCs w:val="1"/>
                <w:color w:val="0000EE"/>
              </w:rPr>
              <w:t>PART IV</w:t>
            </w:r>
          </w:p>
        </w:tc>
        <w:tc>
          <w:tcPr>
            <w:tcW w:w="20" w:type="dxa"/>
            <w:vAlign w:val="bottom"/>
            <w:tcBorders>
              <w:top w:val="single" w:sz="8" w:color="0000EE"/>
            </w:tcBorders>
          </w:tcPr>
          <w:p>
            <w:pPr>
              <w:spacing w:after="0"/>
              <w:rPr>
                <w:sz w:val="15"/>
                <w:szCs w:val="15"/>
                <w:color w:val="auto"/>
              </w:rPr>
            </w:pPr>
          </w:p>
        </w:tc>
        <w:tc>
          <w:tcPr>
            <w:tcW w:w="3320" w:type="dxa"/>
            <w:vAlign w:val="bottom"/>
            <w:gridSpan w:val="11"/>
          </w:tcPr>
          <w:p>
            <w:pPr>
              <w:spacing w:after="0"/>
              <w:rPr>
                <w:sz w:val="15"/>
                <w:szCs w:val="15"/>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15.</w:t>
            </w:r>
          </w:p>
        </w:tc>
        <w:tc>
          <w:tcPr>
            <w:tcW w:w="420" w:type="dxa"/>
            <w:vAlign w:val="bottom"/>
            <w:gridSpan w:val="2"/>
          </w:tcPr>
          <w:p>
            <w:pPr>
              <w:spacing w:after="0"/>
              <w:rPr>
                <w:sz w:val="15"/>
                <w:szCs w:val="15"/>
                <w:color w:val="auto"/>
              </w:rPr>
            </w:pPr>
          </w:p>
        </w:tc>
        <w:tc>
          <w:tcPr>
            <w:tcW w:w="7040" w:type="dxa"/>
            <w:vAlign w:val="bottom"/>
            <w:gridSpan w:val="34"/>
          </w:tcPr>
          <w:p>
            <w:pPr>
              <w:spacing w:after="0" w:line="183" w:lineRule="exact"/>
              <w:rPr>
                <w:sz w:val="20"/>
                <w:szCs w:val="20"/>
                <w:color w:val="auto"/>
              </w:rPr>
            </w:pPr>
            <w:r>
              <w:rPr>
                <w:rFonts w:ascii="Arial" w:cs="Arial" w:eastAsia="Arial" w:hAnsi="Arial"/>
                <w:sz w:val="16"/>
                <w:szCs w:val="16"/>
                <w:color w:val="0000EE"/>
              </w:rPr>
              <w:t>EXHIBIT AND FINANCIAL STATEMENT SCHEDULES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EXHIBIT INDEX</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SIGNATURES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3</w:t>
      </w:r>
    </w:p>
    <w:p>
      <w:pPr>
        <w:spacing w:after="0" w:line="268"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6</w:t>
      </w:r>
    </w:p>
    <w:p>
      <w:pPr>
        <w:spacing w:after="0" w:line="31"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89</w:t>
      </w:r>
    </w:p>
    <w:p>
      <w:pPr>
        <w:spacing w:after="0" w:line="19"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155</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155</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155</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156</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156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157</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158</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158</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173</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174</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203</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203</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204</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204</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205</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205</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205</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205</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205</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206</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206</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00" w:lineRule="exact"/>
        <w:rPr>
          <w:sz w:val="20"/>
          <w:szCs w:val="20"/>
          <w:color w:val="auto"/>
        </w:rPr>
      </w:pPr>
    </w:p>
    <w:p>
      <w:pPr>
        <w:sectPr>
          <w:pgSz w:w="11900" w:h="16838" w:orient="portrait"/>
          <w:cols w:equalWidth="0" w:num="2">
            <w:col w:w="8140" w:space="540"/>
            <w:col w:w="33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Annual Report on Form 10-K and the documents incorporated by reference herein contain forward-looking statements that involve substantial risks and uncertainties. All statements, other than statements of historical facts, included in this Annual Report on Form 10-K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The forward-looking statements in this Annual Report on Form 10-K and the documents incorporated herein by reference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70"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lead product candidate, CNTY-101;</w:t>
      </w:r>
    </w:p>
    <w:p>
      <w:pPr>
        <w:spacing w:after="0" w:line="224" w:lineRule="exact"/>
        <w:rPr>
          <w:rFonts w:ascii="Times New Roman" w:cs="Times New Roman" w:eastAsia="Times New Roman" w:hAnsi="Times New Roman"/>
          <w:sz w:val="18"/>
          <w:szCs w:val="18"/>
          <w:color w:val="auto"/>
        </w:rPr>
      </w:pPr>
    </w:p>
    <w:p>
      <w:pPr>
        <w:ind w:left="720" w:right="4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and inflammatory treatments, utilizing iPSC-derived natural killer cells, or iNK cells, and iPSC-derived T cells, or iT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7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IND applications for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70"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54"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4" w:lineRule="exact"/>
        <w:rPr>
          <w:rFonts w:ascii="Times New Roman" w:cs="Times New Roman" w:eastAsia="Times New Roman" w:hAnsi="Times New Roman"/>
          <w:sz w:val="18"/>
          <w:szCs w:val="18"/>
          <w:color w:val="auto"/>
        </w:rPr>
      </w:pPr>
    </w:p>
    <w:p>
      <w:pPr>
        <w:ind w:left="720" w:right="51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public opinion and scrutiny of cell-based immuno-oncology and autoimmune and inflammatory therapies and its potential impact on public perception of our company and product candidates;</w:t>
      </w:r>
    </w:p>
    <w:p>
      <w:pPr>
        <w:spacing w:after="0" w:line="131" w:lineRule="exact"/>
        <w:rPr>
          <w:rFonts w:ascii="Times New Roman" w:cs="Times New Roman" w:eastAsia="Times New Roman" w:hAnsi="Times New Roman"/>
          <w:sz w:val="17"/>
          <w:szCs w:val="17"/>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224" w:lineRule="exact"/>
        <w:rPr>
          <w:rFonts w:ascii="Times New Roman" w:cs="Times New Roman" w:eastAsia="Times New Roman" w:hAnsi="Times New Roman"/>
          <w:sz w:val="18"/>
          <w:szCs w:val="18"/>
          <w:color w:val="auto"/>
        </w:rPr>
      </w:pPr>
    </w:p>
    <w:p>
      <w:pPr>
        <w:ind w:left="720" w:right="8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131" w:lineRule="exact"/>
        <w:rPr>
          <w:rFonts w:ascii="Times New Roman" w:cs="Times New Roman" w:eastAsia="Times New Roman" w:hAnsi="Times New Roman"/>
          <w:sz w:val="17"/>
          <w:szCs w:val="17"/>
          <w:color w:val="auto"/>
        </w:rPr>
      </w:pPr>
    </w:p>
    <w:p>
      <w:pPr>
        <w:ind w:left="720" w:right="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pandemics, such as the COVID-19 pandemic, or any other global health crises may impact our business, including development activities, preclinical studies, clinical trials, supply chain and labor force;</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22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Annual Report on Form 10-K.</w:t>
      </w:r>
    </w:p>
    <w:p>
      <w:pPr>
        <w:spacing w:after="0" w:line="15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85"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incorporate by reference herein completely and with the understanding that our actual future results may be materially different from what we expect. We do not assume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Overview</w:t>
      </w:r>
    </w:p>
    <w:p>
      <w:pPr>
        <w:spacing w:after="0" w:line="21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and inflammatory diseases that we believe will allow us to overcome the limitations of first-generation cell therapies. We have created a comprehensive, genetically engineered allogeneic cell therapy platform that includes:</w:t>
      </w:r>
    </w:p>
    <w:p>
      <w:pPr>
        <w:spacing w:after="0" w:line="160" w:lineRule="exact"/>
        <w:rPr>
          <w:sz w:val="20"/>
          <w:szCs w:val="20"/>
          <w:color w:val="auto"/>
        </w:rPr>
      </w:pPr>
    </w:p>
    <w:p>
      <w:pPr>
        <w:ind w:left="1040" w:right="159" w:hanging="639"/>
        <w:spacing w:after="0" w:line="27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Industry-leading induced pluripotent stem cells, or iPSCs, and differentiated know-how to generate immune effector cells from iPSCs, or iPSC- derived cells;</w:t>
      </w:r>
    </w:p>
    <w:p>
      <w:pPr>
        <w:spacing w:after="0" w:line="140" w:lineRule="exact"/>
        <w:rPr>
          <w:rFonts w:ascii="Arial" w:cs="Arial" w:eastAsia="Arial" w:hAnsi="Arial"/>
          <w:sz w:val="18"/>
          <w:szCs w:val="18"/>
          <w:color w:val="auto"/>
        </w:rPr>
      </w:pPr>
    </w:p>
    <w:p>
      <w:pPr>
        <w:ind w:left="1040" w:right="359" w:hanging="639"/>
        <w:spacing w:after="0" w:line="25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remove target genes intended to optimize cell product performance;</w:t>
      </w:r>
    </w:p>
    <w:p>
      <w:pPr>
        <w:spacing w:after="0" w:line="155" w:lineRule="exact"/>
        <w:rPr>
          <w:rFonts w:ascii="Arial" w:cs="Arial" w:eastAsia="Arial" w:hAnsi="Arial"/>
          <w:sz w:val="18"/>
          <w:szCs w:val="18"/>
          <w:color w:val="auto"/>
        </w:rPr>
      </w:pPr>
    </w:p>
    <w:p>
      <w:pPr>
        <w:ind w:left="1040" w:right="559" w:hanging="639"/>
        <w:spacing w:after="0" w:line="27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32" w:lineRule="exact"/>
        <w:rPr>
          <w:rFonts w:ascii="Arial" w:cs="Arial" w:eastAsia="Arial" w:hAnsi="Arial"/>
          <w:sz w:val="18"/>
          <w:szCs w:val="18"/>
          <w:color w:val="auto"/>
        </w:rPr>
      </w:pPr>
    </w:p>
    <w:p>
      <w:pPr>
        <w:ind w:left="1040" w:right="159" w:hanging="639"/>
        <w:spacing w:after="0" w:line="212"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intended to prevent rejection of our cell products by the host immune system; and</w:t>
      </w:r>
    </w:p>
    <w:p>
      <w:pPr>
        <w:spacing w:after="0" w:line="167" w:lineRule="exact"/>
        <w:rPr>
          <w:rFonts w:ascii="Arial" w:cs="Arial" w:eastAsia="Arial" w:hAnsi="Arial"/>
          <w:sz w:val="18"/>
          <w:szCs w:val="18"/>
          <w:color w:val="auto"/>
        </w:rPr>
      </w:pPr>
    </w:p>
    <w:p>
      <w:pPr>
        <w:ind w:left="1040" w:right="139" w:hanging="639"/>
        <w:spacing w:after="0" w:line="25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risk and supply risk as well as maximize the opportunity provided by our platform to drive down cost of goods and increase patient access.</w:t>
      </w:r>
    </w:p>
    <w:p>
      <w:pPr>
        <w:spacing w:after="0" w:line="15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6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231F20"/>
        </w:rPr>
        <w:t>combination puts us in a position to change the oncology and autoimmune and inflammatory treatment paradigm and market.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key elements of our approach include: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efficient precision gene editing technology</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We have developed highly efficient gene engineering processes to generate our product candidates. Our first product candidate, CNTY-101, is the first in the clinic cell therapy product candidate engineered with six precision gene edits aimed at providing selectivity and persistence, including CRISPR-mediated homologous recombination and repair edits.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is designed to preserve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proprietary 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technology</w:t>
      </w:r>
    </w:p>
    <w:p>
      <w:pPr>
        <w:spacing w:after="0" w:line="120" w:lineRule="exact"/>
        <w:rPr>
          <w:sz w:val="20"/>
          <w:szCs w:val="20"/>
          <w:color w:val="auto"/>
        </w:rPr>
      </w:pPr>
    </w:p>
    <w:p>
      <w:pPr>
        <w:ind w:left="60" w:right="139"/>
        <w:spacing w:after="0" w:line="224" w:lineRule="auto"/>
        <w:rPr>
          <w:sz w:val="20"/>
          <w:szCs w:val="20"/>
          <w:color w:val="auto"/>
        </w:rPr>
      </w:pPr>
      <w:r>
        <w:rPr>
          <w:rFonts w:ascii="Arial" w:cs="Arial" w:eastAsia="Arial" w:hAnsi="Arial"/>
          <w:sz w:val="18"/>
          <w:szCs w:val="18"/>
          <w:color w:val="231F20"/>
        </w:rPr>
        <w:t>We are leveraging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to design cells capable of evading identification and destruction by the host (patient)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CAR and protein engineering</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CAR design is a critical component of innovative cell therapy product candidates. We assembled a team of scientists with deep protein engineering expertise and invested in the use of the variable domain of the heavy chain antibody, or VHH binders. We believe this antibody platform investment to develop world-class CAR engineering capabilities will allow us to create multi-specific CAR constructs targeting more than one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Common engineered iPSC progenitor accelerates new product candidate generation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profile based upon products that may have been clinically tested in earlier programs. In contrast, all of our iPSC-derived product candidates include a set of shared core features intended to increase their functionality, safety, and persistence. We integrate these core features into common engineered iPSC progenitors, which have several advantages: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Significant acceleration of new product candidate generation</w:t>
      </w:r>
    </w:p>
    <w:p>
      <w:pPr>
        <w:spacing w:after="0" w:line="210"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231F20"/>
        </w:rPr>
        <w:t>Multiple product candidates are generated by engineering additional features, such as adding different CARs to the common progenitor to create new product candidates for different indications. With this approach, we do not need to re-engineer common functionalities every time we generate a new product candidate.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Robust manufacturing processes for multiple product candidates</w:t>
      </w:r>
    </w:p>
    <w:p>
      <w:pPr>
        <w:spacing w:after="0" w:line="210"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231F20"/>
        </w:rPr>
        <w:t>Since the starting iPSC line is the same for multiple product candidates, our manufacturing processes are predictable and built on robust and well-developed processes.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Predictability of product candidate profile</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Because multiple clinical candidates are derived from the same engineered iPSC line, the lessons learned from one product candidate can be leveraged across multiple product candidates, which facilitates further product development. For instance, we believe the allo-reactivity of products derived from the same common engineered iPSC progenitor should be very similar.</w:t>
      </w:r>
    </w:p>
    <w:p>
      <w:pPr>
        <w:spacing w:after="0" w:line="174" w:lineRule="exact"/>
        <w:rPr>
          <w:sz w:val="20"/>
          <w:szCs w:val="20"/>
          <w:color w:val="auto"/>
        </w:rPr>
      </w:pPr>
    </w:p>
    <w:p>
      <w:pPr>
        <w:ind w:left="60" w:right="199"/>
        <w:spacing w:after="0"/>
        <w:rPr>
          <w:sz w:val="20"/>
          <w:szCs w:val="20"/>
          <w:color w:val="auto"/>
        </w:rPr>
      </w:pPr>
      <w:r>
        <w:rPr>
          <w:rFonts w:ascii="Arial" w:cs="Arial" w:eastAsia="Arial" w:hAnsi="Arial"/>
          <w:sz w:val="18"/>
          <w:szCs w:val="18"/>
          <w:color w:val="231F20"/>
        </w:rPr>
        <w:t>We received a study may proceed notification from the U.S. Food and Drug Administration, or the FDA, for our lead product candidate CNTY-101, a CAR-iNK product candidate targeting CD19 for lymphoma, in August 2022. We initiated the Phase 1 ELiPSE-1 trial in CD19+ B-cell lymphomas and began dosing patients in February 2023. Subsequently, in December 2023, we received a study may proceed notification from the FDA to initiate a second Phase 1 trial for CNTY-101 in moderate to severe Systemic Lupus Erythematosus, or SLE, which we refer to as the CALiPSO-1 trial. We plan to initiate the Phase 1 CALiPSO-1 trial in the first half of 2024.</w:t>
      </w:r>
    </w:p>
    <w:p>
      <w:pPr>
        <w:spacing w:after="0" w:line="185"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231F20"/>
        </w:rPr>
        <w:t>Our second product candidate, CNTY-102, is a bi-specific CD19 + CD22 CAR-iT product candidate targeting lymphoma. Our newest product candidate, CNTY-107, is a Nectin-4 CAR-iT targeted product candidate for Nectin-4 positive solid tumors.</w:t>
      </w:r>
    </w:p>
    <w:p>
      <w:pPr>
        <w:spacing w:after="0" w:line="16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In January 2023, we announced a strategic internal portfolio prioritization through which, among other discovery efforts, CNTY-103, a CAR-iNK product targeting CD133 and a discovery program for hematological malignancies, were de-prioritized, allowing us to further prioritize our CNTY-102 and CNTY-107 product candidates, which we believe have a higher probability of technical success and greater market potential. As a result of the operational restructuring, lab operations in Seattle and Hamilton have been closed and research activities have been consolidated in Philadelphia.</w:t>
      </w:r>
    </w:p>
    <w:p>
      <w:pPr>
        <w:spacing w:after="0" w:line="179"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231F20"/>
        </w:rPr>
        <w:t>In January 2022, we entered into a strategic collaboration with Bristol-Myers Squibb Company, or Bristol-Myers Squibb, to develop and commercialize up to four iNK or iT programs for hematological malignancies and solid tumors. The collaboration includes our fourth candidate, CNTY-104, a multi-specific collaboration program targeting acute myeloid leukemia, or AML, and CNTY-106, a multi-specific collaboration program for multiple myeloma. As there are disease settings which will favor iNK or iT products, we are actively investigating both iNK and iT cell platforms for CNTY-104 and CNTY-106, as either may have preferential clinical features.</w:t>
      </w:r>
    </w:p>
    <w:p>
      <w:pPr>
        <w:spacing w:after="0" w:line="16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We are also advancing an earlier discovery stage pipeline with novel CARs and binders against solid and hematological tumor targets as well as autoimmune disease targets, using our iNK and iT cell therapy platforms. We believe that the therapeutics we discover and develop, if approved, will have a significant impact on the quality of life of patients suffering from devastating malignancies. Similarly, our evaluation of discovery pipeline candidates directed against moderate to severe autoimmune and inflammatory disease targets enable therapeutics to be discovered and developed, if approved, to have a significant impact on patients with chronic diseases with high morbidity. Our approach to developing therapies for life-threatening and moderate and severe diseases with high unmet medical need potentially presents an opportunity to efficiently advance our product candidates through clinical development, regulatory approval and ultimately to commercialization.</w:t>
      </w:r>
    </w:p>
    <w:p>
      <w:pPr>
        <w:spacing w:after="0" w:line="183" w:lineRule="exact"/>
        <w:rPr>
          <w:sz w:val="20"/>
          <w:szCs w:val="20"/>
          <w:color w:val="auto"/>
        </w:rPr>
      </w:pPr>
    </w:p>
    <w:p>
      <w:pPr>
        <w:ind w:left="60" w:right="279"/>
        <w:spacing w:after="0" w:line="266" w:lineRule="auto"/>
        <w:rPr>
          <w:sz w:val="20"/>
          <w:szCs w:val="20"/>
          <w:color w:val="auto"/>
        </w:rPr>
      </w:pPr>
      <w:r>
        <w:rPr>
          <w:rFonts w:ascii="Arial" w:cs="Arial" w:eastAsia="Arial" w:hAnsi="Arial"/>
          <w:sz w:val="17"/>
          <w:szCs w:val="17"/>
          <w:color w:val="231F20"/>
        </w:rPr>
        <w:t>Our collaboration with FUJIFILM Cellular Dynamics Inc., or FCDI, provides us with licenses to certain premier iPSC technologies, patents and know-how, which gave us our initial start and enabled us to accelerate generation of our first-generation product candidates and development of our manufacturing processes. We have built and expanded on this foundation with our own resources, applying our own gene editing, protein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pipeline</w:t>
      </w:r>
    </w:p>
    <w:p>
      <w:pPr>
        <w:spacing w:after="0" w:line="21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231F20"/>
        </w:rPr>
        <w:t>We are assembling a portfolio of allogeneic iNK and iT cell therapy product candidates across solid tumor and hematological malignancies, and in autoimmune and inflammatory diseases.</w:t>
      </w:r>
    </w:p>
    <w:p>
      <w:pPr>
        <w:spacing w:after="0" w:line="194" w:lineRule="exact"/>
        <w:rPr>
          <w:sz w:val="20"/>
          <w:szCs w:val="20"/>
          <w:color w:val="auto"/>
        </w:rPr>
      </w:pPr>
    </w:p>
    <w:p>
      <w:pPr>
        <w:ind w:left="60" w:right="219"/>
        <w:spacing w:after="0" w:line="259" w:lineRule="auto"/>
        <w:rPr>
          <w:sz w:val="20"/>
          <w:szCs w:val="20"/>
          <w:color w:val="auto"/>
        </w:rPr>
      </w:pPr>
      <w:r>
        <w:rPr>
          <w:rFonts w:ascii="Arial" w:cs="Arial" w:eastAsia="Arial" w:hAnsi="Arial"/>
          <w:sz w:val="17"/>
          <w:szCs w:val="17"/>
          <w:color w:val="231F20"/>
        </w:rPr>
        <w:t>This pipeline is comprised of cell therapies that are designed to address diseases where we believe current therapies are inadequate. All product candidates incorporate our proprietary Allo-Evasion</w:t>
      </w:r>
      <w:r>
        <w:rPr>
          <w:rFonts w:ascii="Arial" w:cs="Arial" w:eastAsia="Arial" w:hAnsi="Arial"/>
          <w:sz w:val="15"/>
          <w:szCs w:val="15"/>
          <w:color w:val="231F20"/>
        </w:rPr>
        <w:t>TM</w:t>
      </w:r>
      <w:r>
        <w:rPr>
          <w:rFonts w:ascii="Arial" w:cs="Arial" w:eastAsia="Arial" w:hAnsi="Arial"/>
          <w:sz w:val="17"/>
          <w:szCs w:val="17"/>
          <w:color w:val="231F20"/>
        </w:rPr>
        <w:t xml:space="preserve"> technology which is designed to avoid host rejection and potentially increase the durability of clinical responses, enables repeat dosing which may enable increased drug exposure and durability as well as tighter control of drug exposure. CNTY-101, a CD19-targed Allo-EvasionTM edited iPSC-derived NK product is being evaluated in our first in-human Phase 1 ELiPSE-1 trial for treatment of relapsed or refractory CD19 positive B-cell lymphomas.</w:t>
      </w:r>
    </w:p>
    <w:p>
      <w:pPr>
        <w:spacing w:after="0" w:line="20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231F20"/>
        </w:rPr>
        <w:t>In addition, we announced on December 6, 2023 that we were notified by FDA that the Phase 1 clinical trial may proceed to assess CNTY-101 in patients with moderate to severe SLE who have failed at least two standard immunosuppressive therapies. We plan to initiate the CNTY-101 CALiPSO-1 trial in SLE in the first half of 2024.</w:t>
      </w:r>
    </w:p>
    <w:p>
      <w:pPr>
        <w:spacing w:after="0" w:line="17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 xml:space="preserve">Our second product candidate, CNTY-102, is designed to further improve B-cell malignancy treatment by simultaneously targeting CD19 and a second antigen. Our newest product candidate, CNTY-107 is a Nectin-4 targeted product for Nectin-4+ tumors. In collaboration with Bristol-Myers Squibb, we are developing CNTY-104 to treat AML. We are also developing CNTY-106 </w:t>
      </w:r>
      <w:r>
        <w:rPr>
          <w:rFonts w:ascii="Arial" w:cs="Arial" w:eastAsia="Arial" w:hAnsi="Arial"/>
          <w:sz w:val="18"/>
          <w:szCs w:val="18"/>
          <w:color w:val="000000"/>
        </w:rPr>
        <w:t>in collaboration with Bristol-Myers Squibb for multiple</w:t>
      </w:r>
      <w:r>
        <w:rPr>
          <w:rFonts w:ascii="Arial" w:cs="Arial" w:eastAsia="Arial" w:hAnsi="Arial"/>
          <w:sz w:val="18"/>
          <w:szCs w:val="18"/>
          <w:color w:val="231F20"/>
        </w:rPr>
        <w:t xml:space="preserve"> </w:t>
      </w:r>
      <w:r>
        <w:rPr>
          <w:rFonts w:ascii="Arial" w:cs="Arial" w:eastAsia="Arial" w:hAnsi="Arial"/>
          <w:sz w:val="18"/>
          <w:szCs w:val="18"/>
          <w:color w:val="000000"/>
        </w:rPr>
        <w:t>myeloma.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266065</wp:posOffset>
            </wp:positionV>
            <wp:extent cx="5554980" cy="2537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25374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3129280</wp:posOffset>
            </wp:positionV>
            <wp:extent cx="141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right="139" w:hanging="330"/>
        <w:spacing w:after="0" w:line="249" w:lineRule="auto"/>
        <w:tabs>
          <w:tab w:leader="none" w:pos="38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and any other product candidate comprised of iNK cells that we develop in the future. CNTY-101 is no longer included in the agreement. Bayer’s rights under the option agreement are subject to important limitations. See “—Licensing, partnership and collaboration— Bayer HealthCare LLC—Option Agreement” for more information.</w:t>
      </w:r>
    </w:p>
    <w:p>
      <w:pPr>
        <w:spacing w:after="0" w:line="182" w:lineRule="exact"/>
        <w:rPr>
          <w:rFonts w:ascii="Arial" w:cs="Arial" w:eastAsia="Arial" w:hAnsi="Arial"/>
          <w:sz w:val="13"/>
          <w:szCs w:val="13"/>
          <w:color w:val="231F20"/>
        </w:rPr>
      </w:pPr>
    </w:p>
    <w:p>
      <w:pPr>
        <w:ind w:left="380" w:right="259" w:hanging="330"/>
        <w:spacing w:after="0" w:line="281" w:lineRule="auto"/>
        <w:tabs>
          <w:tab w:leader="none" w:pos="380" w:val="left"/>
        </w:tabs>
        <w:numPr>
          <w:ilvl w:val="0"/>
          <w:numId w:val="6"/>
        </w:numPr>
        <w:rPr>
          <w:rFonts w:ascii="Arial" w:cs="Arial" w:eastAsia="Arial" w:hAnsi="Arial"/>
          <w:sz w:val="13"/>
          <w:szCs w:val="13"/>
          <w:color w:val="231F20"/>
        </w:rPr>
      </w:pPr>
      <w:r>
        <w:rPr>
          <w:rFonts w:ascii="Arial" w:cs="Arial" w:eastAsia="Arial" w:hAnsi="Arial"/>
          <w:sz w:val="13"/>
          <w:szCs w:val="13"/>
          <w:color w:val="231F20"/>
        </w:rPr>
        <w:t>We entered a collaboration with Bristol-Myers Squibb to develop and commercialize up to four iNK or iT product candidates, including CNTY-104 and CNTY-106. See – Licensing, partnership and collaboration – Bristol-Myers Squibb for more information.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CNTY-101: Our CAR-iNK product candidate targeting CD19 for relapsed, refractory B-cell lymphoma</w:t>
      </w:r>
    </w:p>
    <w:p>
      <w:pPr>
        <w:spacing w:after="0" w:line="210" w:lineRule="exact"/>
        <w:rPr>
          <w:sz w:val="20"/>
          <w:szCs w:val="20"/>
          <w:color w:val="auto"/>
        </w:rPr>
      </w:pPr>
    </w:p>
    <w:p>
      <w:pPr>
        <w:ind w:left="60" w:right="159"/>
        <w:spacing w:after="0" w:line="220" w:lineRule="auto"/>
        <w:rPr>
          <w:sz w:val="20"/>
          <w:szCs w:val="20"/>
          <w:color w:val="auto"/>
        </w:rPr>
      </w:pPr>
      <w:r>
        <w:rPr>
          <w:rFonts w:ascii="Arial" w:cs="Arial" w:eastAsia="Arial" w:hAnsi="Arial"/>
          <w:sz w:val="18"/>
          <w:szCs w:val="18"/>
          <w:color w:val="231F20"/>
        </w:rPr>
        <w:t xml:space="preserve">Our lead product candidate, CNTY-101, is an allogeneic, iPSC-derived CAR-iNK cell therapy that has been engineered to express CD19 CAR, soluble IL-15, an EGFR safety switch, and also contains gene edits needed to incorporate Allo-Evasion </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We are currently dosing patients in the Phase 1 trial for CNTY-101, ELiPSE-1.</w:t>
      </w:r>
    </w:p>
    <w:p>
      <w:pPr>
        <w:spacing w:after="0" w:line="183" w:lineRule="exact"/>
        <w:rPr>
          <w:sz w:val="20"/>
          <w:szCs w:val="20"/>
          <w:color w:val="auto"/>
        </w:rPr>
      </w:pPr>
    </w:p>
    <w:p>
      <w:pPr>
        <w:ind w:left="60" w:right="79"/>
        <w:spacing w:after="0" w:line="225" w:lineRule="auto"/>
        <w:rPr>
          <w:sz w:val="20"/>
          <w:szCs w:val="20"/>
          <w:color w:val="auto"/>
        </w:rPr>
      </w:pPr>
      <w:r>
        <w:rPr>
          <w:rFonts w:ascii="Arial" w:cs="Arial" w:eastAsia="Arial" w:hAnsi="Arial"/>
          <w:sz w:val="18"/>
          <w:szCs w:val="18"/>
          <w:color w:val="231F20"/>
        </w:rPr>
        <w:t>On November 2, 2023, we announced preliminary clinical data from a case study of a patient participating in the ELiPSE-1 clinical trial, featured in an American Society of Hematology, or ASH, abstract. On December 9, 2023, we announced the presentation of initial clinical data from the single patient case study at the 65</w:t>
      </w:r>
      <w:r>
        <w:rPr>
          <w:rFonts w:ascii="Arial" w:cs="Arial" w:eastAsia="Arial" w:hAnsi="Arial"/>
          <w:sz w:val="26"/>
          <w:szCs w:val="26"/>
          <w:color w:val="231F20"/>
          <w:vertAlign w:val="superscript"/>
        </w:rPr>
        <w:t>th</w:t>
      </w:r>
      <w:r>
        <w:rPr>
          <w:rFonts w:ascii="Arial" w:cs="Arial" w:eastAsia="Arial" w:hAnsi="Arial"/>
          <w:sz w:val="18"/>
          <w:szCs w:val="18"/>
          <w:color w:val="231F20"/>
        </w:rPr>
        <w:t xml:space="preserve"> ASH Annual Meeting and Exposition, December 9-12, in San Diego. On December 11, 2023, we released updated clinical and translational data from the trial with the following conclusions to date related to CNTY-101 at the lowest study doses of 100 million and 300 million cells (once monthly cycle Schedule A):</w:t>
      </w:r>
    </w:p>
    <w:p>
      <w:pPr>
        <w:spacing w:after="0" w:line="180"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auto"/>
        </w:rPr>
        <w:t>Heavily pretreated and refractory patient population treated in first-in-human dose escalation trial;</w:t>
      </w:r>
    </w:p>
    <w:p>
      <w:pPr>
        <w:spacing w:after="0" w:line="26"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auto"/>
        </w:rPr>
        <w:t>Favorable initial safety profile; potentially can be delivered in an outpatient setting;</w:t>
      </w:r>
    </w:p>
    <w:p>
      <w:pPr>
        <w:spacing w:after="0" w:line="8" w:lineRule="exact"/>
        <w:rPr>
          <w:rFonts w:ascii="Times New Roman" w:cs="Times New Roman" w:eastAsia="Times New Roman" w:hAnsi="Times New Roman"/>
          <w:sz w:val="18"/>
          <w:szCs w:val="18"/>
          <w:color w:val="231F20"/>
        </w:rPr>
      </w:pPr>
    </w:p>
    <w:p>
      <w:pPr>
        <w:ind w:left="720" w:right="199" w:hanging="319"/>
        <w:spacing w:after="0" w:line="234" w:lineRule="auto"/>
        <w:tabs>
          <w:tab w:leader="none" w:pos="7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auto"/>
        </w:rPr>
        <w:t>Encouraging early response signals at lowest dose levels: two patients achieving complete response, or CR, including one patient with 6-month durable CR, prior to subsequent progression;</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auto"/>
        </w:rPr>
        <w:t>No evidence of allo-rejection; and</w:t>
      </w:r>
    </w:p>
    <w:p>
      <w:pPr>
        <w:spacing w:after="0" w:line="8" w:lineRule="exact"/>
        <w:rPr>
          <w:rFonts w:ascii="Times New Roman" w:cs="Times New Roman" w:eastAsia="Times New Roman" w:hAnsi="Times New Roman"/>
          <w:sz w:val="18"/>
          <w:szCs w:val="18"/>
          <w:color w:val="231F20"/>
        </w:rPr>
      </w:pPr>
    </w:p>
    <w:p>
      <w:pPr>
        <w:ind w:left="720" w:right="399" w:hanging="319"/>
        <w:spacing w:after="0" w:line="249" w:lineRule="auto"/>
        <w:tabs>
          <w:tab w:leader="none" w:pos="7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auto"/>
        </w:rPr>
        <w:t>Initial data for CNTY-101 supports the potential for Allo-Evasion™ to enable a multi-dosing regimen without the need for continued lymphodepletion.</w:t>
      </w:r>
    </w:p>
    <w:p>
      <w:pPr>
        <w:spacing w:after="0" w:line="159" w:lineRule="exact"/>
        <w:rPr>
          <w:sz w:val="20"/>
          <w:szCs w:val="20"/>
          <w:color w:val="auto"/>
        </w:rPr>
      </w:pPr>
    </w:p>
    <w:p>
      <w:pPr>
        <w:ind w:left="60" w:right="199"/>
        <w:spacing w:after="0" w:line="301" w:lineRule="auto"/>
        <w:rPr>
          <w:sz w:val="20"/>
          <w:szCs w:val="20"/>
          <w:color w:val="auto"/>
        </w:rPr>
      </w:pPr>
      <w:r>
        <w:rPr>
          <w:rFonts w:ascii="Arial" w:cs="Arial" w:eastAsia="Arial" w:hAnsi="Arial"/>
          <w:sz w:val="17"/>
          <w:szCs w:val="17"/>
          <w:color w:val="auto"/>
        </w:rPr>
        <w:t>We believe CNTY-101’s manageable initial safety profile, initial response data, and PK/PD supports advancing to higher doses and/or a more frequent dose schedule to potentially deepen and prolong clinical response.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CNTY-101 in Systemic Lupus Erythematosus</w:t>
      </w:r>
    </w:p>
    <w:p>
      <w:pPr>
        <w:spacing w:after="0" w:line="21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On December 6, 2023 we announced that we were notified by the FDA that our Phase 1 clinical trial may proceed to assess CNTY-101 in patients with moderate to severe SLE who have failed at least two standard immunosuppressive therapies. This represents the first Investigational New Drug (IND) application clearance for an autoimmune and inflammatory disease indication for CNTY-101 and is built on the emerging data and experience gained from administering multiple cycles of CNTY-101, with and without lymphodepletion, under the open IND for CNTY-101 in relapsed/refractory B-cell malignancies.</w:t>
      </w:r>
    </w:p>
    <w:p>
      <w:pPr>
        <w:spacing w:after="0" w:line="17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multi-center Phase 1 clinical trial (CALiPSO-1) is designed to assess the safety, tolerability, pharmacokinetics, and clinical response of CNTY-101 in patients with moderate to severe SLE who have failed at least two standard immunosuppressive therapies. The trial will evaluate one to two cycles of 3 weekly doses of CNTY-101 at the 300e6 and 1,000e6 dose level per infusion, with lymphodepletion only included prior to the first CNTY-101 infusion. We plan to initiate the trial in the first half of 2024, with initial data expected by the end of 2024.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99"/>
        <w:spacing w:after="0" w:line="269" w:lineRule="auto"/>
        <w:rPr>
          <w:sz w:val="20"/>
          <w:szCs w:val="20"/>
          <w:color w:val="auto"/>
        </w:rPr>
      </w:pPr>
      <w:r>
        <w:rPr>
          <w:rFonts w:ascii="Arial" w:cs="Arial" w:eastAsia="Arial" w:hAnsi="Arial"/>
          <w:sz w:val="18"/>
          <w:szCs w:val="18"/>
          <w:i w:val="1"/>
          <w:iCs w:val="1"/>
          <w:color w:val="231F20"/>
        </w:rPr>
        <w:t>CNTY-102: Our CAR-iT product candidate targeting CD19 + CD22 for relapsed, refractory B-cell lymphoma and other B-cell malignancies</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 xml:space="preserve">We have selected targets for CNTY-102, a CAR-iT product candidate, against CD19 and CD22 for relapsed, refractory B-cell lymphoma and other B-cell malignancies. </w:t>
      </w:r>
      <w:r>
        <w:rPr>
          <w:rFonts w:ascii="Arial" w:cs="Arial" w:eastAsia="Arial" w:hAnsi="Arial"/>
          <w:sz w:val="18"/>
          <w:szCs w:val="18"/>
          <w:color w:val="231F20"/>
        </w:rPr>
        <w:t>CNTY-102 will simultaneously target CD19 and</w:t>
      </w:r>
      <w:r>
        <w:rPr>
          <w:rFonts w:ascii="Arial" w:cs="Arial" w:eastAsia="Arial" w:hAnsi="Arial"/>
          <w:sz w:val="18"/>
          <w:szCs w:val="18"/>
          <w:color w:val="auto"/>
        </w:rPr>
        <w:t xml:space="preserve"> </w:t>
      </w:r>
      <w:r>
        <w:rPr>
          <w:rFonts w:ascii="Arial" w:cs="Arial" w:eastAsia="Arial" w:hAnsi="Arial"/>
          <w:sz w:val="18"/>
          <w:szCs w:val="18"/>
          <w:color w:val="231F20"/>
        </w:rPr>
        <w:t>CD22, intended to increase depth and durability of response by eliminating the effect of CD19 antigen loss that has been observed as a factor limiting treatment durability, as well as targeting CD22, an independently regulated, ubiquitous and validated B-cell target. We have elected to develop CNTY-102 on our gamma delta iT platform.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CNTY-107: CAR-iT product candidate for the treatment of solid tumors expressing Nectin-4</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CNTY-107 is an iPSC-derived Nectin-4 CAR gamma delta T-cell therapy product candidate that will be engineered with multiple features to provide several mechanisms for tumor killing. The product candidate will include core Allo-Evasion™ edits and other features designed to provide cytokine support, enhance tumor cell killing and cell fitness.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CNTY-104: Our CAR-iNK or CAR-iT multi-specific collaboration program for acute myeloid leukemia</w:t>
      </w:r>
    </w:p>
    <w:p>
      <w:pPr>
        <w:spacing w:after="0" w:line="19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CNTY-104 will utilize our multi-specific iNK or iT cells for the treatment of AML, which we intend to develop in collaboration with Bristol-Myers Squibb. We will evaluate both the iNK and iT cell therapy platforms and choose the one likely to provide the best therapeutic index in the clinic. The product candidate will include core Allo-evasion ™ edits and other features designed to provide cytokine support, enhance tumor cell killing and cell fitness.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CNTY-106: Our CAR-iNK or CAR-iT multispecific collaboration program for multiple myeloma</w:t>
      </w:r>
    </w:p>
    <w:p>
      <w:pPr>
        <w:spacing w:after="0" w:line="18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CNTY-106 will utilize our multi-specific iNK or IT cells for the treatment of multiple myeloma, which we intend to develop in collaboration with Bristol-Myers Squibb. We will evaluate both the iNK and IT cell therapy platforms and select the one that we believe will be most likely to provide the best therapeutic index in the clinic. The product candidate will include core Allo-Evasion™ edits and other features designed to provide cytokine support, enhance tumor cell killing and cell fitness.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Discovery platform</w:t>
      </w:r>
    </w:p>
    <w:p>
      <w:pPr>
        <w:spacing w:after="0" w:line="198"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231F20"/>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 We continue to advance our gamma delta and alpha beta iT cell platforms for our future T cell based candidates.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use of iPSCs provides us with a differentiated advantage in product development and manufacturing</w:t>
      </w:r>
    </w:p>
    <w:p>
      <w:pPr>
        <w:spacing w:after="0" w:line="196" w:lineRule="exact"/>
        <w:rPr>
          <w:sz w:val="20"/>
          <w:szCs w:val="20"/>
          <w:color w:val="auto"/>
        </w:rPr>
      </w:pPr>
    </w:p>
    <w:p>
      <w:pPr>
        <w:ind w:left="60" w:right="359"/>
        <w:spacing w:after="0" w:line="254" w:lineRule="auto"/>
        <w:rPr>
          <w:sz w:val="20"/>
          <w:szCs w:val="20"/>
          <w:color w:val="auto"/>
        </w:rPr>
      </w:pPr>
      <w:r>
        <w:rPr>
          <w:rFonts w:ascii="Arial" w:cs="Arial" w:eastAsia="Arial" w:hAnsi="Arial"/>
          <w:sz w:val="17"/>
          <w:szCs w:val="17"/>
          <w:color w:val="231F20"/>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16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231F20"/>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137795</wp:posOffset>
            </wp:positionV>
            <wp:extent cx="4937760" cy="131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77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iPSC-derived allogeneic cells differentiate our therapeutic development approach</w:t>
      </w:r>
    </w:p>
    <w:p>
      <w:pPr>
        <w:spacing w:after="0" w:line="21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The source cells used in the manufacture of our allogeneic cell therapy candidates are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then differentiate the iPSCs to generate different immune cell types including iNK cells and iT cells.</w:t>
      </w:r>
    </w:p>
    <w:p>
      <w:pPr>
        <w:spacing w:after="0" w:line="183"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231F20"/>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 alterations. A single cell clone is used to construct a master cell bank capable of providing a sufficient number of doses for the life of a product due to the unlimited replicative capacity of iPSCs.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560" w:right="320"/>
        <w:spacing w:after="0" w:line="281" w:lineRule="auto"/>
        <w:rPr>
          <w:sz w:val="20"/>
          <w:szCs w:val="20"/>
          <w:color w:val="auto"/>
        </w:rPr>
      </w:pPr>
      <w:r>
        <w:rPr>
          <w:rFonts w:ascii="Arial" w:cs="Arial" w:eastAsia="Arial" w:hAnsi="Arial"/>
          <w:sz w:val="18"/>
          <w:szCs w:val="18"/>
          <w:b w:val="1"/>
          <w:bCs w:val="1"/>
          <w:color w:val="231F20"/>
        </w:rPr>
        <w:t>We believe use of iPSCs provide us with differentiated advantages in product development and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90170</wp:posOffset>
            </wp:positionV>
            <wp:extent cx="4937760" cy="1903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776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strategy</w:t>
      </w:r>
    </w:p>
    <w:p>
      <w:pPr>
        <w:spacing w:after="0" w:line="214"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231F20"/>
        </w:rPr>
        <w:t>Our vision is to be a leader in the treatment of solid tumor and hematological malignancies and autoimmune and inflammatory diseases addressing unmet medical needs by developing innovative allogeneic cell therapy products derived from our proprietary technologies. We are initially focused on advancing the research, clinical development and commercialization of 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181" w:lineRule="exact"/>
        <w:rPr>
          <w:sz w:val="20"/>
          <w:szCs w:val="20"/>
          <w:color w:val="auto"/>
        </w:rPr>
      </w:pPr>
    </w:p>
    <w:p>
      <w:pPr>
        <w:ind w:left="720" w:right="119" w:hanging="319"/>
        <w:spacing w:after="0" w:line="23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Build a leading cell therapy company leveraging our comprehensive iPSC-derived allogeneic cell therapy platforms designed to overcome the limitations of existing cancer and autoimmune and inflammatory disease therapies. </w:t>
      </w:r>
      <w:r>
        <w:rPr>
          <w:rFonts w:ascii="Arial" w:cs="Arial" w:eastAsia="Arial" w:hAnsi="Arial"/>
          <w:sz w:val="18"/>
          <w:szCs w:val="18"/>
          <w:color w:val="231F20"/>
        </w:rPr>
        <w:t>We have created comprehensive allogeneic cell therapy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platforms that include industry-leading iPSC differentiation know-how, CRISPR-mediated precision gene editing, sophisticated protein engineering capabilities, proprietary Allo-Evasion</w:t>
      </w:r>
      <w:r>
        <w:rPr>
          <w:rFonts w:ascii="Arial" w:cs="Arial" w:eastAsia="Arial" w:hAnsi="Arial"/>
          <w:sz w:val="18"/>
          <w:szCs w:val="18"/>
          <w:color w:val="000000"/>
        </w:rPr>
        <w:t>™</w:t>
      </w:r>
      <w:r>
        <w:rPr>
          <w:rFonts w:ascii="Arial" w:cs="Arial" w:eastAsia="Arial" w:hAnsi="Arial"/>
          <w:sz w:val="18"/>
          <w:szCs w:val="18"/>
          <w:color w:val="231F20"/>
        </w:rPr>
        <w:t xml:space="preserve"> technology, and cutting-edge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183" w:lineRule="exact"/>
        <w:rPr>
          <w:rFonts w:ascii="Arial" w:cs="Arial" w:eastAsia="Arial" w:hAnsi="Arial"/>
          <w:sz w:val="18"/>
          <w:szCs w:val="18"/>
          <w:color w:val="231F20"/>
        </w:rPr>
      </w:pPr>
    </w:p>
    <w:p>
      <w:pPr>
        <w:ind w:left="720" w:right="119" w:hanging="319"/>
        <w:spacing w:after="0" w:line="238"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Maximize the potential to treat a broad range of cancers and autoimmune and inflammatory diseases by exploiting the distinct biologies of both NK and T cells. We are initially developing our CAR-iNK and CAR-iT cell therapy platforms for multiple indications including lymphoma, Nectin-4 positive tumors, acute myeloid leukemia, multiple myeloma and other solid tumor and hematological malignancies. </w:t>
      </w:r>
      <w:r>
        <w:rPr>
          <w:rFonts w:ascii="Arial" w:cs="Arial" w:eastAsia="Arial" w:hAnsi="Arial"/>
          <w:sz w:val="18"/>
          <w:szCs w:val="18"/>
          <w:color w:val="231F20"/>
        </w:rPr>
        <w:t>Initiating in December 2023, we are including development of our</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products for autoimmune and inflammatory indications, including SLE, Lupus Nephritis, among others.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regimens that simultaneously incorporate both CAR-iNK and CAR-iT cells in the treatment of individual patients.</w:t>
      </w:r>
    </w:p>
    <w:p>
      <w:pPr>
        <w:spacing w:after="0" w:line="185" w:lineRule="exact"/>
        <w:rPr>
          <w:rFonts w:ascii="Arial" w:cs="Arial" w:eastAsia="Arial" w:hAnsi="Arial"/>
          <w:sz w:val="18"/>
          <w:szCs w:val="18"/>
          <w:color w:val="231F20"/>
        </w:rPr>
      </w:pPr>
    </w:p>
    <w:p>
      <w:pPr>
        <w:ind w:left="720" w:right="139" w:hanging="319"/>
        <w:spacing w:after="0" w:line="246"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Leverage our Allo-Evasion™ technology across our product platform to help avoid host rejection and enable repeat dosing. </w:t>
      </w:r>
      <w:r>
        <w:rPr>
          <w:rFonts w:ascii="Arial" w:cs="Arial" w:eastAsia="Arial" w:hAnsi="Arial"/>
          <w:sz w:val="18"/>
          <w:szCs w:val="18"/>
          <w:color w:val="231F20"/>
        </w:rPr>
        <w:t>Central to the potential clinical performance of our iPSC-derived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cell therapies is our novel and proprietary Allo-Evasion</w:t>
      </w:r>
      <w:r>
        <w:rPr>
          <w:rFonts w:ascii="Arial" w:cs="Arial" w:eastAsia="Arial" w:hAnsi="Arial"/>
          <w:sz w:val="18"/>
          <w:szCs w:val="18"/>
          <w:color w:val="000000"/>
        </w:rPr>
        <w:t>™</w:t>
      </w:r>
      <w:r>
        <w:rPr>
          <w:rFonts w:ascii="Arial" w:cs="Arial" w:eastAsia="Arial" w:hAnsi="Arial"/>
          <w:sz w:val="18"/>
          <w:szCs w:val="18"/>
          <w:color w:val="231F20"/>
        </w:rPr>
        <w:t xml:space="preserve"> technology, which we intend to implement across our entire product platform. This proprietary technology allows us to engineer cells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119"/>
        <w:spacing w:after="0"/>
        <w:rPr>
          <w:sz w:val="20"/>
          <w:szCs w:val="20"/>
          <w:color w:val="auto"/>
        </w:rPr>
      </w:pPr>
      <w:r>
        <w:rPr>
          <w:rFonts w:ascii="Arial" w:cs="Arial" w:eastAsia="Arial" w:hAnsi="Arial"/>
          <w:sz w:val="18"/>
          <w:szCs w:val="18"/>
          <w:color w:val="231F20"/>
        </w:rPr>
        <w:t>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We believe these advantages could enable the implementation of more flexible and effective dosing protocols for our off-the-shelf product candidates, which may increase physician and patient access.</w:t>
      </w:r>
    </w:p>
    <w:p>
      <w:pPr>
        <w:spacing w:after="0" w:line="187" w:lineRule="exact"/>
        <w:rPr>
          <w:sz w:val="20"/>
          <w:szCs w:val="20"/>
          <w:color w:val="auto"/>
        </w:rPr>
      </w:pPr>
    </w:p>
    <w:p>
      <w:pPr>
        <w:ind w:left="720" w:right="99" w:hanging="319"/>
        <w:spacing w:after="0" w:line="238"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Exploit serial gene editing of iPSCs to create product candidates with enhanced functionalities and fit for purpose product characteristics. </w:t>
      </w:r>
      <w:r>
        <w:rPr>
          <w:rFonts w:ascii="Arial" w:cs="Arial" w:eastAsia="Arial" w:hAnsi="Arial"/>
          <w:sz w:val="18"/>
          <w:szCs w:val="18"/>
          <w:color w:val="231F20"/>
        </w:rPr>
        <w:t>We utilize CRISPR-mediated precision gene editing that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allows us to incorporate multiple transgenes and knockouts to achieve precise genetic modifications at defined locations in the iPSC genome. Our lead clinical product candidate, CNTY-101, incorporates six gene edits, which we believe are essential attributes necessary for meaningful clinical performance, including a CAR to mediate target recognition and killing, features to evade immune rejection and a safety switch to enable product elimination if ever necessary. We believe this initial set of gene edits, if successful,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185" w:lineRule="exact"/>
        <w:rPr>
          <w:rFonts w:ascii="Arial" w:cs="Arial" w:eastAsia="Arial" w:hAnsi="Arial"/>
          <w:sz w:val="18"/>
          <w:szCs w:val="18"/>
          <w:color w:val="231F20"/>
        </w:rPr>
      </w:pPr>
    </w:p>
    <w:p>
      <w:pPr>
        <w:ind w:left="720" w:right="119" w:hanging="319"/>
        <w:spacing w:after="0" w:line="238"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Leverage our own manufacturing infrastructure, product and process understanding and scale-up technologies to minimize manufacturing risk. </w:t>
      </w:r>
      <w:r>
        <w:rPr>
          <w:rFonts w:ascii="Arial" w:cs="Arial" w:eastAsia="Arial" w:hAnsi="Arial"/>
          <w:sz w:val="18"/>
          <w:szCs w:val="18"/>
          <w:color w:val="000000"/>
        </w:rPr>
        <w:t>We are strategically investing in manufacturing</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000000"/>
        </w:rPr>
        <w:t>across all aspects of the value chain to become leaders in the industry. We have built internal manufacturing facilities, including our Branchburg, New Jersey Current Good Manufacturing Practices, or cGMP, plant, that we believe will enable us to learn and iterate more rapidly and increase control of development timelines for expedited development of high-quality product candidates. We plan to produce and release multiple products from this facility for clinical trials. We will continue to invest in process and analytical development capabilities and closely study our cell process parameters that affect product quality. Furthermore, we intend to establish expertise in scale-up technologies designed to enable optimal manufacturing scale, which we believe will reduce the cost of goods and improve patient access.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Background</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The role of NK cells and T cells in the human immune system</w:t>
      </w:r>
    </w:p>
    <w:p>
      <w:pPr>
        <w:spacing w:after="0" w:line="21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31F20"/>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Innate immune system—NK Cells</w:t>
      </w:r>
    </w:p>
    <w:p>
      <w:pPr>
        <w:spacing w:after="0" w:line="196" w:lineRule="exact"/>
        <w:rPr>
          <w:sz w:val="20"/>
          <w:szCs w:val="20"/>
          <w:color w:val="auto"/>
        </w:rPr>
      </w:pPr>
    </w:p>
    <w:p>
      <w:pPr>
        <w:ind w:left="60" w:right="259"/>
        <w:spacing w:after="0"/>
        <w:rPr>
          <w:sz w:val="20"/>
          <w:szCs w:val="20"/>
          <w:color w:val="auto"/>
        </w:rPr>
      </w:pPr>
      <w:r>
        <w:rPr>
          <w:rFonts w:ascii="Arial" w:cs="Arial" w:eastAsia="Arial" w:hAnsi="Arial"/>
          <w:sz w:val="18"/>
          <w:szCs w:val="18"/>
          <w:color w:val="231F20"/>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Adaptive immune system—T Cells</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adaptive immune system is characterized by antigen-specific immune responses mediated by T and B-cells.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B-cells need to undergo clonal expansion before they can mount an immune response. The innate and adaptive immune systems also differ on the longevity of the immune response. After elimination of the pathogen, T and B-cells can persist for decades as memory cells and quickly respond to new challenges by the same pathogen. We seek to take advantage of the unique properties of T cells and their proven anti-cancer activity to engineer iPSC-derived T cell products.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Cellular immunotherapy and its use in the treatment of cancer</w:t>
      </w:r>
    </w:p>
    <w:p>
      <w:pPr>
        <w:spacing w:after="0" w:line="183"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231F20"/>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16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231F20"/>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1800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061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Advancements in cell therapy approaches have enhanced treatment alternatives for patients</w:t>
      </w:r>
    </w:p>
    <w:p>
      <w:pPr>
        <w:spacing w:after="0" w:line="21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231F20"/>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4886325" cy="2649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8632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Cellular immunotherapy and its use in the treatment of autoimmune diseases</w:t>
      </w:r>
    </w:p>
    <w:p>
      <w:pPr>
        <w:spacing w:after="0" w:line="21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Availability of autologous CAR-T cell therapies and efficacy in hematologic indications has engendered increased evaluation of engineered cell therapies in autoimmune diseases. Broad unmet medical need exists in numerous moderate to severe autoimmune diseases, including myasthenia gravis, systemic sclerosis, SLE, lupus nephritis or, LN, ANCA-associated vasculitis, myositis, and rheumatoid arthritis, among others, where permanent disease control is difficult to achieve. Chronic treatment with immunosuppressive and anti-inflammatory agents may fail to significantly improve morbidity, and treatment toxicity and disease flares remain common. In particular, due to the central role of B-cells and pathogenic autoantibodies in SLE, LN, systemic sclerosis, myositis, and myasthenia gravis, B-cell directed CD19 CAR-T cell therapies are being clinically evaluated with recent successful results. One example (Mackensen 2022) showed promising three month and up to 12 month drug free disease reduction and remissions after five refractory SLE patients were treated with autologous CD19-CAR T cells; subsequent follow up reported by Mueller 2024 reported a median of 15 month responses for 15 patients with SLE, LN, idiopathic inflammatory myositis and systemic sclerosis, with significant remissions, and not requiring immunosuppressive therapy. There are potential risks associated with utilizing autologous CAR T cell therapies in autoimmune diseases (as in oncology), such as prolonged B-cell aplasia, and recent citation of risk of T cell malignancies. Whereas existing biologic treatments have utility, the potential for cellular immunotherapies to affect a more permanent remission via “immune reset” caused by B-cell depletion and their safety in this setting will continue to be further evaluated. We believe an approach utilizing iNK or iT cells and iPSCs compared to autologous and donor-derived approaches may provide numerous advantages.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Advantages of iPSC vs. donor-derived approaches</w:t>
      </w:r>
    </w:p>
    <w:p>
      <w:pPr>
        <w:spacing w:after="0" w:line="194"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iPSC technology allows us to reprogram differentiated cells to become iPSCs and to then differentiate the iPSCs to generate different immune cell types including NK cells and T cells. We believe some of the advantages offered by iPSCs 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Receptive to complex genetic editing</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31F20"/>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Significant replication capacity</w:t>
      </w:r>
    </w:p>
    <w:p>
      <w:pPr>
        <w:spacing w:after="0" w:line="21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231F20"/>
        </w:rPr>
        <w:t>iPSCs are derived from single cell clones, which are used to construct a master cell bank capable of providing a sufficient number of doses for the life of a product due to the unlimited replicative capacity of iPSCs.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Streamlined manufacturing and consistent product</w:t>
      </w:r>
    </w:p>
    <w:p>
      <w:pPr>
        <w:spacing w:after="0" w:line="210"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231F20"/>
        </w:rPr>
        <w:t>The use of a single master cell bank allows iPSC-derived products to be produced with greater consistency, at the greatest possible scale and at reduced cost compared to donor-derived NK cells or T cells.</w:t>
      </w:r>
    </w:p>
    <w:p>
      <w:pPr>
        <w:spacing w:after="0" w:line="154"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We believe that iPSC-derived cell therapies provide meaningful advantages over other modalities and have the potential to change the oncology and autoimmune diseases treatment paradigm.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137795</wp:posOffset>
            </wp:positionV>
            <wp:extent cx="4011930" cy="257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193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i w:val="1"/>
          <w:iCs w:val="1"/>
          <w:color w:val="231F20"/>
        </w:rPr>
        <w:t>Stages of iPSC gene editing, characterization, and clonal selection prior to the generation of the engineered iPSC master cell bank or, MCB. Genetic engineering of our product candidates occurs exclusively at the iPSC stage, where the cells have unlimited replicative capacity and pluripotency. In the above figure, we highlight the multiple steps required for selection of the final CNTY-101 product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rationale for developing both iNK and iT allogeneic cell therapy platforms</w:t>
      </w:r>
    </w:p>
    <w:p>
      <w:pPr>
        <w:spacing w:after="0" w:line="21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We are initially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graft-versus-host disease, or GvHD, in iT cells through the use of TCRs that are not expected to cause GvHD, which we refer to herein as TrustedTCRs,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w:t>
      </w:r>
    </w:p>
    <w:p>
      <w:pPr>
        <w:spacing w:after="0" w:line="183"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231F20"/>
        </w:rPr>
        <w:t>Ultimately, the development of both platforms enables a unique opportunity to merge the intrinsic biology of these lymphocyte subsets with desirable engineering attributes to tailor therapies best suited for the clinical path being pursued.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Development of CAR-NK and CAR-T platforms: distinct biology influences disease-specific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137795</wp:posOffset>
            </wp:positionV>
            <wp:extent cx="5554980" cy="2049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49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proprietary technology and differentiated approach</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Advanced cell engineering expertise further differentiates our iPSC-derived allogeneic cell therapies</w:t>
      </w:r>
    </w:p>
    <w:p>
      <w:pPr>
        <w:spacing w:after="0" w:line="210" w:lineRule="exact"/>
        <w:rPr>
          <w:sz w:val="20"/>
          <w:szCs w:val="20"/>
          <w:color w:val="auto"/>
        </w:rPr>
      </w:pPr>
    </w:p>
    <w:p>
      <w:pPr>
        <w:ind w:left="60" w:right="179"/>
        <w:spacing w:after="0" w:line="228" w:lineRule="auto"/>
        <w:rPr>
          <w:sz w:val="20"/>
          <w:szCs w:val="20"/>
          <w:color w:val="auto"/>
        </w:rPr>
      </w:pPr>
      <w:r>
        <w:rPr>
          <w:rFonts w:ascii="Arial" w:cs="Arial" w:eastAsia="Arial" w:hAnsi="Arial"/>
          <w:sz w:val="18"/>
          <w:szCs w:val="18"/>
          <w:color w:val="231F20"/>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137795</wp:posOffset>
            </wp:positionV>
            <wp:extent cx="3806190" cy="1774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061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Common engineered iPSC progenitor</w:t>
      </w:r>
    </w:p>
    <w:p>
      <w:pPr>
        <w:spacing w:after="0" w:line="210" w:lineRule="exact"/>
        <w:rPr>
          <w:sz w:val="20"/>
          <w:szCs w:val="20"/>
          <w:color w:val="auto"/>
        </w:rPr>
      </w:pPr>
    </w:p>
    <w:p>
      <w:pPr>
        <w:ind w:left="60" w:right="99"/>
        <w:spacing w:after="0" w:line="242" w:lineRule="auto"/>
        <w:rPr>
          <w:sz w:val="20"/>
          <w:szCs w:val="20"/>
          <w:color w:val="auto"/>
        </w:rPr>
      </w:pPr>
      <w:r>
        <w:rPr>
          <w:rFonts w:ascii="Arial" w:cs="Arial" w:eastAsia="Arial" w:hAnsi="Arial"/>
          <w:sz w:val="17"/>
          <w:szCs w:val="17"/>
          <w:color w:val="231F20"/>
        </w:rPr>
        <w:t>All of our product candidates include a set of core features designed to improve their functionality, safety profile, and persistence. These features may include (i) our Allo-Evasion</w:t>
      </w:r>
      <w:r>
        <w:rPr>
          <w:rFonts w:ascii="Arial" w:cs="Arial" w:eastAsia="Arial" w:hAnsi="Arial"/>
          <w:sz w:val="25"/>
          <w:szCs w:val="25"/>
          <w:color w:val="231F20"/>
          <w:vertAlign w:val="superscript"/>
        </w:rPr>
        <w:t>TM</w:t>
      </w:r>
      <w:r>
        <w:rPr>
          <w:rFonts w:ascii="Arial" w:cs="Arial" w:eastAsia="Arial" w:hAnsi="Arial"/>
          <w:sz w:val="17"/>
          <w:szCs w:val="17"/>
          <w:color w:val="231F20"/>
        </w:rPr>
        <w:t xml:space="preserve"> technology to enable the cells to avoid detection by the host immune system; (ii) a safety switch to allow for the rapid elimination of the cells from the patient if necessary;(iii) the inclusion of a homeostatic cytokine, IL-15, which promotes increased functionality and persistence </w:t>
      </w:r>
      <w:r>
        <w:rPr>
          <w:rFonts w:ascii="Arial" w:cs="Arial" w:eastAsia="Arial" w:hAnsi="Arial"/>
          <w:sz w:val="17"/>
          <w:szCs w:val="17"/>
          <w:i w:val="1"/>
          <w:iCs w:val="1"/>
          <w:color w:val="231F20"/>
        </w:rPr>
        <w:t>in vivo</w:t>
      </w:r>
      <w:r>
        <w:rPr>
          <w:rFonts w:ascii="Arial" w:cs="Arial" w:eastAsia="Arial" w:hAnsi="Arial"/>
          <w:sz w:val="17"/>
          <w:szCs w:val="17"/>
          <w:color w:val="231F20"/>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have built all of these core features into a “common engineered iPSC progenitor” which is being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137795</wp:posOffset>
            </wp:positionV>
            <wp:extent cx="4954905" cy="2254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490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Highly efficient engineering processes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Engineering steps used to generate our CNTY-101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137795</wp:posOffset>
            </wp:positionV>
            <wp:extent cx="5057775" cy="1954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77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137795</wp:posOffset>
            </wp:positionV>
            <wp:extent cx="4234815" cy="2785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3481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Advantages of our proprietary 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technology</w:t>
      </w:r>
    </w:p>
    <w:p>
      <w:pPr>
        <w:spacing w:after="0" w:line="120" w:lineRule="exact"/>
        <w:rPr>
          <w:sz w:val="20"/>
          <w:szCs w:val="20"/>
          <w:color w:val="auto"/>
        </w:rPr>
      </w:pPr>
    </w:p>
    <w:p>
      <w:pPr>
        <w:ind w:left="60" w:right="179"/>
        <w:spacing w:after="0" w:line="227" w:lineRule="auto"/>
        <w:rPr>
          <w:sz w:val="20"/>
          <w:szCs w:val="20"/>
          <w:color w:val="auto"/>
        </w:rPr>
      </w:pPr>
      <w:r>
        <w:rPr>
          <w:rFonts w:ascii="Arial" w:cs="Arial" w:eastAsia="Arial" w:hAnsi="Arial"/>
          <w:sz w:val="18"/>
          <w:szCs w:val="18"/>
          <w:color w:val="231F20"/>
        </w:rPr>
        <w:t>We believe that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their therapeutic potential. In combination with the extended killing capability of optimized immune cells derived from single genetically engineered cell clone, we envision utilizing repeat dosing to maximize durability of response and efficacy. Additionally, we believe this technology may permit dosing in patients with limited or no immune preconditioning regimens.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potential of Allo-Evasion</w:t>
      </w:r>
      <w:r>
        <w:rPr>
          <w:rFonts w:ascii="Arial" w:cs="Arial" w:eastAsia="Arial" w:hAnsi="Arial"/>
          <w:sz w:val="26"/>
          <w:szCs w:val="26"/>
          <w:b w:val="1"/>
          <w:bCs w:val="1"/>
          <w:color w:val="231F20"/>
          <w:vertAlign w:val="superscript"/>
        </w:rPr>
        <w:t>TM</w:t>
      </w:r>
      <w:r>
        <w:rPr>
          <w:rFonts w:ascii="Arial" w:cs="Arial" w:eastAsia="Arial" w:hAnsi="Arial"/>
          <w:sz w:val="18"/>
          <w:szCs w:val="18"/>
          <w:b w:val="1"/>
          <w:bCs w:val="1"/>
          <w:color w:val="231F20"/>
        </w:rPr>
        <w:t xml:space="preserve"> using NK inhibitory ligands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85090</wp:posOffset>
            </wp:positionV>
            <wp:extent cx="5177790" cy="1808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77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i w:val="1"/>
          <w:iCs w:val="1"/>
          <w:color w:val="231F20"/>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and CD4</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T cells respectively, but renders the cells susceptible</w:t>
      </w:r>
    </w:p>
    <w:p>
      <w:pPr>
        <w:sectPr>
          <w:pgSz w:w="11900" w:h="16838" w:orient="portrait"/>
          <w:cols w:equalWidth="0" w:num="1">
            <w:col w:w="9019"/>
          </w:cols>
          <w:pgMar w:left="1440" w:top="513" w:right="1440"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39"/>
        <w:spacing w:after="0" w:line="299" w:lineRule="auto"/>
        <w:rPr>
          <w:sz w:val="20"/>
          <w:szCs w:val="20"/>
          <w:color w:val="auto"/>
        </w:rPr>
      </w:pPr>
      <w:r>
        <w:rPr>
          <w:rFonts w:ascii="Arial" w:cs="Arial" w:eastAsia="Arial" w:hAnsi="Arial"/>
          <w:sz w:val="17"/>
          <w:szCs w:val="17"/>
          <w:i w:val="1"/>
          <w:iCs w:val="1"/>
          <w:color w:val="231F20"/>
        </w:rPr>
        <w:t>to killing by recipient NK cells (middle panel). Introduction of the NK inhibitory ligand HLA-E into the product candidate (right panel) delivers a negative signal to recipient NK cells that protects them from elimination.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The combination of HLA-E and HLA-G has improved protection against host NK cell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144780</wp:posOffset>
            </wp:positionV>
            <wp:extent cx="3446145" cy="3549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4614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119"/>
        <w:spacing w:after="0" w:line="252" w:lineRule="auto"/>
        <w:rPr>
          <w:sz w:val="20"/>
          <w:szCs w:val="20"/>
          <w:color w:val="auto"/>
        </w:rPr>
      </w:pPr>
      <w:r>
        <w:rPr>
          <w:rFonts w:ascii="Arial" w:cs="Arial" w:eastAsia="Arial" w:hAnsi="Arial"/>
          <w:sz w:val="18"/>
          <w:szCs w:val="18"/>
          <w:i w:val="1"/>
          <w:iCs w:val="1"/>
          <w:color w:val="231F20"/>
        </w:rPr>
        <w:t>HLA-E and HLA-G engage different receptors on NK cells including NKG2A, KIRs, and LIRs. The expression of NKG2A, KIRs, and LIRs varies among NK cells from different donors. The addition of HLA-G has shown further protection against NK cell rejection to protect the cell therapy product candidate from elimination.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I</w:t>
      </w:r>
      <w:r>
        <w:rPr>
          <w:rFonts w:ascii="Arial" w:cs="Arial" w:eastAsia="Arial" w:hAnsi="Arial"/>
          <w:sz w:val="18"/>
          <w:szCs w:val="18"/>
          <w:b w:val="1"/>
          <w:bCs w:val="1"/>
          <w:color w:val="231F20"/>
        </w:rPr>
        <w:t>llustrative potential of PK of Allo-Evasion</w:t>
      </w:r>
      <w:r>
        <w:rPr>
          <w:rFonts w:ascii="Arial" w:cs="Arial" w:eastAsia="Arial" w:hAnsi="Arial"/>
          <w:sz w:val="26"/>
          <w:szCs w:val="26"/>
          <w:b w:val="1"/>
          <w:bCs w:val="1"/>
          <w:color w:val="231F20"/>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85090</wp:posOffset>
            </wp:positionV>
            <wp:extent cx="5554980" cy="2185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5498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Future generations of our cell therapies will embrace an extended range of capabilities</w:t>
      </w:r>
    </w:p>
    <w:p>
      <w:pPr>
        <w:spacing w:after="0" w:line="210" w:lineRule="exact"/>
        <w:rPr>
          <w:sz w:val="20"/>
          <w:szCs w:val="20"/>
          <w:color w:val="auto"/>
        </w:rPr>
      </w:pPr>
    </w:p>
    <w:p>
      <w:pPr>
        <w:ind w:left="60" w:right="279"/>
        <w:spacing w:after="0"/>
        <w:rPr>
          <w:sz w:val="20"/>
          <w:szCs w:val="20"/>
          <w:color w:val="auto"/>
        </w:rPr>
      </w:pPr>
      <w:r>
        <w:rPr>
          <w:rFonts w:ascii="Arial" w:cs="Arial" w:eastAsia="Arial" w:hAnsi="Arial"/>
          <w:sz w:val="18"/>
          <w:szCs w:val="18"/>
          <w:color w:val="231F20"/>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Future product candidates will be designed to embrace a potentially extended range of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137795</wp:posOffset>
            </wp:positionV>
            <wp:extent cx="3394710" cy="2219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471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231F20"/>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Manufacturing, product quality and COGS advantages</w:t>
      </w:r>
    </w:p>
    <w:p>
      <w:pPr>
        <w:spacing w:after="0" w:line="21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231F20"/>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17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if approved. We intend to increase our investment in scale-up technology as our product pipeline advances through development towards commercialization.</w:t>
      </w:r>
    </w:p>
    <w:p>
      <w:pPr>
        <w:spacing w:after="0" w:line="183"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231F20"/>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w:t>
      </w:r>
    </w:p>
    <w:p>
      <w:pPr>
        <w:spacing w:after="0" w:line="17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A key aspect of our investment in internal manufacturing facilities and capabilities includes the construction of our Current Good Manufacturing Practices, or cGMP, manufacturing facility in Branchburg, New Jersey. We completed construction of this facility and it is now operational. This multi-product, multi-phase facility has the capabilities and capacity to manufacture both iNK and iT cells, as well as other immune cell types, for complete optionality.</w:t>
      </w:r>
    </w:p>
    <w:p>
      <w:pPr>
        <w:spacing w:after="0" w:line="17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231F20"/>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 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81" w:lineRule="exact"/>
        <w:rPr>
          <w:sz w:val="20"/>
          <w:szCs w:val="20"/>
          <w:color w:val="auto"/>
        </w:rPr>
      </w:pPr>
    </w:p>
    <w:p>
      <w:pPr>
        <w:ind w:left="60" w:right="359"/>
        <w:spacing w:after="0" w:line="269" w:lineRule="auto"/>
        <w:rPr>
          <w:sz w:val="20"/>
          <w:szCs w:val="20"/>
          <w:color w:val="auto"/>
        </w:rPr>
      </w:pPr>
      <w:r>
        <w:rPr>
          <w:rFonts w:ascii="Arial" w:cs="Arial" w:eastAsia="Arial" w:hAnsi="Arial"/>
          <w:sz w:val="18"/>
          <w:szCs w:val="18"/>
          <w:i w:val="1"/>
          <w:iCs w:val="1"/>
          <w:color w:val="231F20"/>
        </w:rPr>
        <w:t>Off-the-shelf commercialization opportunity for iPSC-derived allogeneic cell therapy platform derived product candidates</w:t>
      </w:r>
    </w:p>
    <w:p>
      <w:pPr>
        <w:spacing w:after="0" w:line="155"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231F20"/>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Preclinical profiles or characteristics of development candidates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product platforms</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231F20"/>
        </w:rPr>
        <w:t>The iNK cell platform is our most advanced iPSC-derived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126365</wp:posOffset>
            </wp:positionV>
            <wp:extent cx="5554980" cy="2348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549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i w:val="1"/>
          <w:iCs w:val="1"/>
          <w:color w:val="231F20"/>
        </w:rPr>
        <w:t>Left panel: cartoon representation of CNTY-101, our first iNK cell clinical candidate. Right panel: NALM-6 tumor growth inhibition of mice treated with CD19-CAR-iNK cells The CD19-CAR-iNK cells were administered intravenously at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cells per mouse on Days 1, 8, and 15, as indicated by the arrows.</w:t>
      </w:r>
    </w:p>
    <w:p>
      <w:pPr>
        <w:spacing w:after="0" w:line="51" w:lineRule="exact"/>
        <w:rPr>
          <w:sz w:val="20"/>
          <w:szCs w:val="20"/>
          <w:color w:val="auto"/>
        </w:rPr>
      </w:pPr>
    </w:p>
    <w:p>
      <w:pPr>
        <w:ind w:left="60" w:right="199"/>
        <w:spacing w:after="0" w:line="252" w:lineRule="auto"/>
        <w:rPr>
          <w:sz w:val="20"/>
          <w:szCs w:val="20"/>
          <w:color w:val="auto"/>
        </w:rPr>
      </w:pPr>
      <w:r>
        <w:rPr>
          <w:rFonts w:ascii="Arial" w:cs="Arial" w:eastAsia="Arial" w:hAnsi="Arial"/>
          <w:sz w:val="18"/>
          <w:szCs w:val="18"/>
          <w:i w:val="1"/>
          <w:iCs w:val="1"/>
          <w:color w:val="231F20"/>
        </w:rPr>
        <w:t>CD19-CAR-iNK cells demonstrated statistically significant (p=0.0133) anti-tumor growth inhibition compared to untreated control animals (“Tumor only”). Tumor burden was measured as the “Average radiance” of tumor-bearing mice.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231F20"/>
        </w:rPr>
        <w:t>The iT Cell platorm contnues making strong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145415</wp:posOffset>
            </wp:positionV>
            <wp:extent cx="5126355" cy="2914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2635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231F20"/>
        </w:rPr>
        <w:t xml:space="preserve">Left panel: cartoon representation of an iPSC-derived γδ CAR-iT cell expressing a Trusted γδ TCR and a CAR.. Right panel: </w:t>
      </w:r>
      <w:r>
        <w:rPr>
          <w:rFonts w:ascii="Arial" w:cs="Arial" w:eastAsia="Arial" w:hAnsi="Arial"/>
          <w:sz w:val="18"/>
          <w:szCs w:val="18"/>
          <w:b w:val="1"/>
          <w:bCs w:val="1"/>
          <w:i w:val="1"/>
          <w:iCs w:val="1"/>
          <w:color w:val="231F20"/>
        </w:rPr>
        <w:t>A</w:t>
      </w:r>
      <w:r>
        <w:rPr>
          <w:rFonts w:ascii="Arial" w:cs="Arial" w:eastAsia="Arial" w:hAnsi="Arial"/>
          <w:sz w:val="18"/>
          <w:szCs w:val="18"/>
          <w:i w:val="1"/>
          <w:iCs w:val="1"/>
          <w:color w:val="231F20"/>
        </w:rPr>
        <w:t xml:space="preserve">. Average NALM-6 (CD19+) tumor growth in mice treated γδ CAR-iT cells (CD19-specific CAR). The γδ CAR-iT cells were administered as a single intravenous dose of 1x107 cells per mouse on Day 1. The luciferase-labeled tumor cells were enumerated using in vivo bioluminescent imaging (magnitude of tumor growth reported as average radiance). </w:t>
      </w:r>
      <w:r>
        <w:rPr>
          <w:rFonts w:ascii="Arial" w:cs="Arial" w:eastAsia="Arial" w:hAnsi="Arial"/>
          <w:sz w:val="18"/>
          <w:szCs w:val="18"/>
          <w:b w:val="1"/>
          <w:bCs w:val="1"/>
          <w:i w:val="1"/>
          <w:iCs w:val="1"/>
          <w:color w:val="231F20"/>
        </w:rPr>
        <w:t>B.</w:t>
      </w:r>
      <w:r>
        <w:rPr>
          <w:rFonts w:ascii="Arial" w:cs="Arial" w:eastAsia="Arial" w:hAnsi="Arial"/>
          <w:sz w:val="18"/>
          <w:szCs w:val="18"/>
          <w:i w:val="1"/>
          <w:iCs w:val="1"/>
          <w:color w:val="231F20"/>
        </w:rPr>
        <w:t xml:space="preserve"> Individual animal tumor growth on day 21. All 8 control mice (tumor only) exhibited aggressive tumor growth necessitating termination at day 21. The γδ CAR-iT cells demonstrate statistically significant (*p&lt;0.0001) tumor growth inhibition compared to untreated control animals where 7 of 8 treated animals had deep responses at day 21. </w:t>
      </w:r>
      <w:r>
        <w:rPr>
          <w:rFonts w:ascii="Arial" w:cs="Arial" w:eastAsia="Arial" w:hAnsi="Arial"/>
          <w:sz w:val="18"/>
          <w:szCs w:val="18"/>
          <w:b w:val="1"/>
          <w:bCs w:val="1"/>
          <w:i w:val="1"/>
          <w:iCs w:val="1"/>
          <w:color w:val="231F20"/>
        </w:rPr>
        <w:t>C.</w:t>
      </w:r>
      <w:r>
        <w:rPr>
          <w:rFonts w:ascii="Arial" w:cs="Arial" w:eastAsia="Arial" w:hAnsi="Arial"/>
          <w:sz w:val="18"/>
          <w:szCs w:val="18"/>
          <w:i w:val="1"/>
          <w:iCs w:val="1"/>
          <w:color w:val="231F20"/>
        </w:rPr>
        <w:t xml:space="preserve"> Detection of γδ CAR-iT cells in peripheral blood of treated animals. Each line represents a single animal. Note: red arrow depicts that the one treated animal with aggressive tumor growth lacked detectable γδ CAR-iT cells suggesting a technical problem with the intravenous injection of γδ CAR-iT cells.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iPSC-derived iNK cell platform</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174" w:lineRule="exact"/>
        <w:rPr>
          <w:sz w:val="20"/>
          <w:szCs w:val="20"/>
          <w:color w:val="auto"/>
        </w:rPr>
      </w:pPr>
    </w:p>
    <w:p>
      <w:pPr>
        <w:ind w:left="60" w:right="199"/>
        <w:spacing w:after="0" w:line="257" w:lineRule="auto"/>
        <w:rPr>
          <w:sz w:val="20"/>
          <w:szCs w:val="20"/>
          <w:color w:val="auto"/>
        </w:rPr>
      </w:pPr>
      <w:r>
        <w:rPr>
          <w:rFonts w:ascii="Arial" w:cs="Arial" w:eastAsia="Arial" w:hAnsi="Arial"/>
          <w:sz w:val="17"/>
          <w:szCs w:val="17"/>
          <w:color w:val="231F20"/>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1551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061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231F20"/>
        </w:rPr>
        <w:t>We have intentionally focused on the parameters that define immune cell functionality to direct internal development initiatives. This focus is intended to improve upon the intellectual property licensed from FCDI.</w:t>
      </w:r>
    </w:p>
    <w:p>
      <w:pPr>
        <w:spacing w:after="0" w:line="131"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231F20"/>
        </w:rPr>
        <w:t>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17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231F20"/>
        </w:rPr>
        <w:t xml:space="preserve">Assessment of these cells’ functionality demonstrates their potential for tumor cell cytotoxicity. Through a series of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137795</wp:posOffset>
            </wp:positionV>
            <wp:extent cx="3531870" cy="2459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i w:val="1"/>
          <w:iCs w:val="1"/>
          <w:color w:val="231F20"/>
        </w:rPr>
        <w:t>Our iNK cells and peripheral blood mononuclear cells, or PBMC, NK cells were incubated with K562 tumor cells labelled NuclightRed, or NLR, for 72 hours. Cocultures were imaged every 3 hours on the Incucyte live cell imager.</w:t>
      </w:r>
    </w:p>
    <w:p>
      <w:pPr>
        <w:spacing w:after="0" w:line="172" w:lineRule="exact"/>
        <w:rPr>
          <w:sz w:val="20"/>
          <w:szCs w:val="20"/>
          <w:color w:val="auto"/>
        </w:rPr>
      </w:pPr>
    </w:p>
    <w:p>
      <w:pPr>
        <w:jc w:val="both"/>
        <w:ind w:left="60" w:right="99"/>
        <w:spacing w:after="0" w:line="252" w:lineRule="auto"/>
        <w:rPr>
          <w:sz w:val="20"/>
          <w:szCs w:val="20"/>
          <w:color w:val="auto"/>
        </w:rPr>
      </w:pPr>
      <w:r>
        <w:rPr>
          <w:rFonts w:ascii="Arial" w:cs="Arial" w:eastAsia="Arial" w:hAnsi="Arial"/>
          <w:sz w:val="18"/>
          <w:szCs w:val="18"/>
          <w:i w:val="1"/>
          <w:iCs w:val="1"/>
          <w:color w:val="231F20"/>
        </w:rPr>
        <w:t>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69"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231F20"/>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137795</wp:posOffset>
            </wp:positionV>
            <wp:extent cx="4011930" cy="2837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1193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i w:val="1"/>
          <w:iCs w:val="1"/>
          <w:color w:val="231F20"/>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75"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Our iNK cells also demonstrated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We believe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137795</wp:posOffset>
            </wp:positionV>
            <wp:extent cx="3634740" cy="2417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347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i w:val="1"/>
          <w:iCs w:val="1"/>
          <w:color w:val="231F20"/>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 Loss in killing activity was observed between rounds seven and eight.</w:t>
      </w:r>
    </w:p>
    <w:p>
      <w:pPr>
        <w:spacing w:after="0" w:line="182"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 xml:space="preserve">The tumor-killing potential of our iNK cells was confirmed through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 xml:space="preserve">Our CAR-iNK cells have robust anti-tumor activity </w:t>
      </w:r>
      <w:r>
        <w:rPr>
          <w:rFonts w:ascii="Times New Roman" w:cs="Times New Roman" w:eastAsia="Times New Roman" w:hAnsi="Times New Roman"/>
          <w:sz w:val="18"/>
          <w:szCs w:val="18"/>
          <w:b w:val="1"/>
          <w:bCs w:val="1"/>
          <w:i w:val="1"/>
          <w:iCs w:val="1"/>
          <w:color w:val="231F20"/>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147955</wp:posOffset>
            </wp:positionV>
            <wp:extent cx="3909060" cy="3540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0906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i w:val="1"/>
          <w:iCs w:val="1"/>
          <w:color w:val="231F20"/>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81"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i w:val="1"/>
          <w:iCs w:val="1"/>
          <w:color w:val="231F20"/>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137795</wp:posOffset>
            </wp:positionV>
            <wp:extent cx="5554980" cy="4431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5498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right="159"/>
        <w:spacing w:after="0" w:line="210" w:lineRule="auto"/>
        <w:rPr>
          <w:sz w:val="20"/>
          <w:szCs w:val="20"/>
          <w:color w:val="auto"/>
        </w:rPr>
      </w:pPr>
      <w:r>
        <w:rPr>
          <w:rFonts w:ascii="Arial" w:cs="Arial" w:eastAsia="Arial" w:hAnsi="Arial"/>
          <w:sz w:val="18"/>
          <w:szCs w:val="18"/>
          <w:i w:val="1"/>
          <w:iCs w:val="1"/>
          <w:color w:val="231F20"/>
        </w:rPr>
        <w:t>iNK cells were engineered to express a CD19-specific CAR molecule as well as secreted IL-15 to enhance iNK persistence in vivo. Mice received by intravenous injection: untreated (control),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 (those lacking the secreted IL-15 [sIL-15] transgene),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CAR-iNKs-sIL-15, or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CAR-iNKs-sIL-15 plus additional recombinant IL-2 on days 1, 3 &amp; 5 to enhance iNK persistence. In the upper panel </w:t>
      </w:r>
      <w:r>
        <w:rPr>
          <w:rFonts w:ascii="Arial" w:cs="Arial" w:eastAsia="Arial" w:hAnsi="Arial"/>
          <w:sz w:val="18"/>
          <w:szCs w:val="18"/>
          <w:b w:val="1"/>
          <w:bCs w:val="1"/>
          <w:i w:val="1"/>
          <w:iCs w:val="1"/>
          <w:color w:val="231F20"/>
        </w:rPr>
        <w:t>A</w:t>
      </w:r>
      <w:r>
        <w:rPr>
          <w:rFonts w:ascii="Arial" w:cs="Arial" w:eastAsia="Arial" w:hAnsi="Arial"/>
          <w:sz w:val="18"/>
          <w:szCs w:val="18"/>
          <w:i w:val="1"/>
          <w:iCs w:val="1"/>
          <w:color w:val="231F20"/>
        </w:rPr>
        <w:t xml:space="preserve"> (peripheral blood) and the lower panel </w:t>
      </w:r>
      <w:r>
        <w:rPr>
          <w:rFonts w:ascii="Arial" w:cs="Arial" w:eastAsia="Arial" w:hAnsi="Arial"/>
          <w:sz w:val="18"/>
          <w:szCs w:val="18"/>
          <w:b w:val="1"/>
          <w:bCs w:val="1"/>
          <w:i w:val="1"/>
          <w:iCs w:val="1"/>
          <w:color w:val="231F20"/>
        </w:rPr>
        <w:t>B</w:t>
      </w:r>
      <w:r>
        <w:rPr>
          <w:rFonts w:ascii="Arial" w:cs="Arial" w:eastAsia="Arial" w:hAnsi="Arial"/>
          <w:sz w:val="18"/>
          <w:szCs w:val="18"/>
          <w:i w:val="1"/>
          <w:iCs w:val="1"/>
          <w:color w:val="231F20"/>
        </w:rPr>
        <w:t xml:space="preserve"> (lungs), the presence of the sIL-15 transgene enhanced iNK persistence after 7 days. In both tissues, the addition of recombinant IL-2 via injection significantly enhanced persistence.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IPSC-derived iT cell platform</w:t>
      </w:r>
    </w:p>
    <w:p>
      <w:pPr>
        <w:spacing w:after="0" w:line="21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expansion capacity, extended immune memory and the potential inclusion of engineered TCRs for additional tumor killing capacity, provide compelling reasons supporting their inclusion in our anti-cancer and autoimmune and inflammatory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137795</wp:posOffset>
            </wp:positionV>
            <wp:extent cx="4303395" cy="2271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0339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Proprietary Trusted TCR constructs enable our generation of TrueT</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cells</w:t>
      </w:r>
    </w:p>
    <w:p>
      <w:pPr>
        <w:spacing w:after="0" w:line="12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Many companies that are pursing the development of allogeneic T cell therapies engineer T cell with an intentionally deleted TCR to eliminate the risk of GvHD. We have taken a fundamentally different approach; we 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17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231F20"/>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cells as a contrast to T cell engineered without a TCR.</w:t>
      </w:r>
    </w:p>
    <w:p>
      <w:pPr>
        <w:spacing w:after="0" w:line="60" w:lineRule="exact"/>
        <w:rPr>
          <w:sz w:val="20"/>
          <w:szCs w:val="20"/>
          <w:color w:val="auto"/>
        </w:rPr>
      </w:pPr>
    </w:p>
    <w:p>
      <w:pPr>
        <w:ind w:left="60" w:right="159"/>
        <w:spacing w:after="0" w:line="230" w:lineRule="auto"/>
        <w:rPr>
          <w:sz w:val="20"/>
          <w:szCs w:val="20"/>
          <w:color w:val="auto"/>
        </w:rPr>
      </w:pPr>
      <w:r>
        <w:rPr>
          <w:rFonts w:ascii="Arial" w:cs="Arial" w:eastAsia="Arial" w:hAnsi="Arial"/>
          <w:sz w:val="18"/>
          <w:szCs w:val="18"/>
          <w:color w:val="231F20"/>
        </w:rPr>
        <w:t>For any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59"/>
        <w:spacing w:after="0" w:line="212" w:lineRule="auto"/>
        <w:rPr>
          <w:sz w:val="20"/>
          <w:szCs w:val="20"/>
          <w:color w:val="auto"/>
        </w:rPr>
      </w:pPr>
      <w:r>
        <w:rPr>
          <w:rFonts w:ascii="Arial" w:cs="Arial" w:eastAsia="Arial" w:hAnsi="Arial"/>
          <w:sz w:val="18"/>
          <w:szCs w:val="18"/>
          <w:i w:val="1"/>
          <w:iCs w:val="1"/>
          <w:color w:val="231F20"/>
        </w:rPr>
        <w:t>Differentiation of TrueT</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cells results in cells that co-express TCR and CD3 and can utilize an engineered CAR for target cell killing</w:t>
      </w:r>
    </w:p>
    <w:p>
      <w:pPr>
        <w:spacing w:after="0" w:line="18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231F20"/>
        </w:rPr>
        <w:t xml:space="preserve">The process for differentiating T cells from iPSC is a multi-stage </w:t>
      </w:r>
      <w:r>
        <w:rPr>
          <w:rFonts w:ascii="Arial" w:cs="Arial" w:eastAsia="Arial" w:hAnsi="Arial"/>
          <w:sz w:val="17"/>
          <w:szCs w:val="17"/>
          <w:i w:val="1"/>
          <w:iCs w:val="1"/>
          <w:color w:val="231F20"/>
        </w:rPr>
        <w:t>in vitro</w:t>
      </w:r>
      <w:r>
        <w:rPr>
          <w:rFonts w:ascii="Arial" w:cs="Arial" w:eastAsia="Arial" w:hAnsi="Arial"/>
          <w:sz w:val="17"/>
          <w:szCs w:val="17"/>
          <w:color w:val="231F20"/>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15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231F20"/>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 xml:space="preserve">Differentiation of </w:t>
      </w:r>
      <w:r>
        <w:rPr>
          <w:rFonts w:ascii="Arial" w:cs="Arial" w:eastAsia="Arial" w:hAnsi="Arial"/>
          <w:sz w:val="18"/>
          <w:szCs w:val="18"/>
          <w:color w:val="231F20"/>
        </w:rPr>
        <w:t>γδ</w:t>
      </w:r>
      <w:r>
        <w:rPr>
          <w:rFonts w:ascii="Arial" w:cs="Arial" w:eastAsia="Arial" w:hAnsi="Arial"/>
          <w:sz w:val="18"/>
          <w:szCs w:val="18"/>
          <w:b w:val="1"/>
          <w:bCs w:val="1"/>
          <w:color w:val="231F20"/>
        </w:rPr>
        <w:t xml:space="preserve">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103505</wp:posOffset>
            </wp:positionV>
            <wp:extent cx="5383530" cy="382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8353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i w:val="1"/>
          <w:iCs w:val="1"/>
          <w:color w:val="231F20"/>
        </w:rPr>
        <w:t xml:space="preserve">A T-iPSC line that was derived from a Vγ9/Vδ2 γδ T cell was engineered with CRISPR to introduce the CAR transgene. The T-iPSC were then subjected to two sequential differentiation processes. </w:t>
      </w:r>
      <w:r>
        <w:rPr>
          <w:rFonts w:ascii="Arial" w:cs="Arial" w:eastAsia="Arial" w:hAnsi="Arial"/>
          <w:sz w:val="18"/>
          <w:szCs w:val="18"/>
          <w:b w:val="1"/>
          <w:bCs w:val="1"/>
          <w:i w:val="1"/>
          <w:iCs w:val="1"/>
          <w:color w:val="231F20"/>
        </w:rPr>
        <w:t>A.</w:t>
      </w:r>
      <w:r>
        <w:rPr>
          <w:rFonts w:ascii="Arial" w:cs="Arial" w:eastAsia="Arial" w:hAnsi="Arial"/>
          <w:sz w:val="18"/>
          <w:szCs w:val="18"/>
          <w:i w:val="1"/>
          <w:iCs w:val="1"/>
          <w:color w:val="231F20"/>
        </w:rPr>
        <w:t xml:space="preserve"> First, the TiPSC were cultured under conditions that cause them to differentiate into CD34+ hematopoietic progenitor cells (HPCs) which have multilineage capability. </w:t>
      </w:r>
      <w:r>
        <w:rPr>
          <w:rFonts w:ascii="Arial" w:cs="Arial" w:eastAsia="Arial" w:hAnsi="Arial"/>
          <w:sz w:val="18"/>
          <w:szCs w:val="18"/>
          <w:b w:val="1"/>
          <w:bCs w:val="1"/>
          <w:i w:val="1"/>
          <w:iCs w:val="1"/>
          <w:color w:val="231F20"/>
        </w:rPr>
        <w:t>B.</w:t>
      </w:r>
      <w:r>
        <w:rPr>
          <w:rFonts w:ascii="Arial" w:cs="Arial" w:eastAsia="Arial" w:hAnsi="Arial"/>
          <w:sz w:val="18"/>
          <w:szCs w:val="18"/>
          <w:i w:val="1"/>
          <w:iCs w:val="1"/>
          <w:color w:val="231F20"/>
        </w:rPr>
        <w:t xml:space="preserve"> Next, T lineage commitment was enforced during process 2 where the cells were differentiated into uniform CD3+ CD45+ CD7+ T cells over the course of 28 days. </w:t>
      </w:r>
      <w:r>
        <w:rPr>
          <w:rFonts w:ascii="Arial" w:cs="Arial" w:eastAsia="Arial" w:hAnsi="Arial"/>
          <w:sz w:val="18"/>
          <w:szCs w:val="18"/>
          <w:b w:val="1"/>
          <w:bCs w:val="1"/>
          <w:i w:val="1"/>
          <w:iCs w:val="1"/>
          <w:color w:val="231F20"/>
        </w:rPr>
        <w:t>C.</w:t>
      </w:r>
      <w:r>
        <w:rPr>
          <w:rFonts w:ascii="Arial" w:cs="Arial" w:eastAsia="Arial" w:hAnsi="Arial"/>
          <w:sz w:val="18"/>
          <w:szCs w:val="18"/>
          <w:i w:val="1"/>
          <w:iCs w:val="1"/>
          <w:color w:val="231F20"/>
        </w:rPr>
        <w:t xml:space="preserve"> The day 28 T cells were assessed by flow cytometry and the data indicates that the cells express T lineage markers (CD3, CD7, and CD5) as well as the γδ T cell receptor but not the αβ T cell receptor. The T cells also retained high expression of the CAR molecule.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137795</wp:posOffset>
            </wp:positionV>
            <wp:extent cx="2828925" cy="2211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892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519"/>
        <w:spacing w:after="0" w:line="244" w:lineRule="auto"/>
        <w:rPr>
          <w:sz w:val="20"/>
          <w:szCs w:val="20"/>
          <w:color w:val="auto"/>
        </w:rPr>
      </w:pPr>
      <w:r>
        <w:rPr>
          <w:rFonts w:ascii="Arial" w:cs="Arial" w:eastAsia="Arial" w:hAnsi="Arial"/>
          <w:sz w:val="18"/>
          <w:szCs w:val="18"/>
          <w:color w:val="231F20"/>
        </w:rPr>
        <w:t>CAR-iT cells were used in a tumor cell killing assay on an IncuCyte instrument. For this study, Reh cells, a CD19- 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7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231F20"/>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137795</wp:posOffset>
            </wp:positionV>
            <wp:extent cx="4371975" cy="1954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719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 w:right="259"/>
        <w:spacing w:after="0" w:line="255" w:lineRule="auto"/>
        <w:rPr>
          <w:sz w:val="20"/>
          <w:szCs w:val="20"/>
          <w:color w:val="auto"/>
        </w:rPr>
      </w:pPr>
      <w:r>
        <w:rPr>
          <w:rFonts w:ascii="Arial" w:cs="Arial" w:eastAsia="Arial" w:hAnsi="Arial"/>
          <w:sz w:val="17"/>
          <w:szCs w:val="17"/>
          <w:color w:val="231F20"/>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w:t>
      </w:r>
    </w:p>
    <w:p>
      <w:pPr>
        <w:spacing w:after="0" w:line="2" w:lineRule="exact"/>
        <w:rPr>
          <w:sz w:val="20"/>
          <w:szCs w:val="20"/>
          <w:color w:val="auto"/>
        </w:rPr>
      </w:pPr>
    </w:p>
    <w:p>
      <w:pPr>
        <w:ind w:left="60" w:right="99"/>
        <w:spacing w:after="0" w:line="250" w:lineRule="auto"/>
        <w:rPr>
          <w:sz w:val="20"/>
          <w:szCs w:val="20"/>
          <w:color w:val="auto"/>
        </w:rPr>
      </w:pPr>
      <w:r>
        <w:rPr>
          <w:rFonts w:ascii="Arial" w:cs="Arial" w:eastAsia="Arial" w:hAnsi="Arial"/>
          <w:sz w:val="18"/>
          <w:szCs w:val="18"/>
          <w:color w:val="231F20"/>
        </w:rPr>
        <w:t>Because the T-iPSC line was also engineered with a CAR transgene, the CAR protein was also detected on the surface of these iT cells (right panel).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 xml:space="preserve">αβ </w:t>
      </w:r>
      <w:r>
        <w:rPr>
          <w:rFonts w:ascii="Calibri" w:cs="Calibri" w:eastAsia="Calibri" w:hAnsi="Calibri"/>
          <w:sz w:val="18"/>
          <w:szCs w:val="18"/>
          <w:b w:val="1"/>
          <w:bCs w:val="1"/>
          <w:color w:val="231F20"/>
        </w:rPr>
        <w:t>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163830</wp:posOffset>
            </wp:positionV>
            <wp:extent cx="3394710" cy="258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947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31F20"/>
        </w:rPr>
        <w:t>CAR-iT cells were used in a tumor cell killing assay on an IncuCyte instrument. For this study, Reh cells, a CD19- 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140970</wp:posOffset>
            </wp:positionV>
            <wp:extent cx="5229225" cy="2005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922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19"/>
        <w:spacing w:after="0" w:line="228" w:lineRule="auto"/>
        <w:rPr>
          <w:sz w:val="20"/>
          <w:szCs w:val="20"/>
          <w:color w:val="auto"/>
        </w:rPr>
      </w:pPr>
      <w:r>
        <w:rPr>
          <w:rFonts w:ascii="Arial" w:cs="Arial" w:eastAsia="Arial" w:hAnsi="Arial"/>
          <w:sz w:val="18"/>
          <w:szCs w:val="18"/>
          <w:i w:val="1"/>
          <w:iCs w:val="1"/>
          <w:color w:val="231F20"/>
        </w:rPr>
        <w:t>Serial killing of CD19</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tumor cells by CAR-</w:t>
      </w:r>
      <w:r>
        <w:rPr>
          <w:rFonts w:ascii="Arial" w:cs="Arial" w:eastAsia="Arial" w:hAnsi="Arial"/>
          <w:sz w:val="18"/>
          <w:szCs w:val="18"/>
          <w:color w:val="231F20"/>
        </w:rPr>
        <w:t>γδ</w:t>
      </w:r>
      <w:r>
        <w:rPr>
          <w:rFonts w:ascii="Arial" w:cs="Arial" w:eastAsia="Arial" w:hAnsi="Arial"/>
          <w:sz w:val="18"/>
          <w:szCs w:val="18"/>
          <w:i w:val="1"/>
          <w:iCs w:val="1"/>
          <w:color w:val="231F20"/>
        </w:rPr>
        <w:t>-iT cells is comparable to PBMC-derived CAR-T cells. The serial killing assay was performed using an Incucyte instrument where viable tumor cells expressed Nuclight Red and were enumerated every 3 hours based on Red Calibrated Units, or RCU, a measure of total red fluorescence. At the beginning of the culture, 1e5 CAR-</w:t>
      </w:r>
      <w:r>
        <w:rPr>
          <w:rFonts w:ascii="Arial" w:cs="Arial" w:eastAsia="Arial" w:hAnsi="Arial"/>
          <w:sz w:val="18"/>
          <w:szCs w:val="18"/>
          <w:color w:val="231F20"/>
        </w:rPr>
        <w:t>γδ</w:t>
      </w:r>
      <w:r>
        <w:rPr>
          <w:rFonts w:ascii="Arial" w:cs="Arial" w:eastAsia="Arial" w:hAnsi="Arial"/>
          <w:sz w:val="18"/>
          <w:szCs w:val="18"/>
          <w:i w:val="1"/>
          <w:iCs w:val="1"/>
          <w:color w:val="231F20"/>
        </w:rPr>
        <w:t xml:space="preserve">-iT or CAR-T were added to each well followed by addition of 2e4 NALM-6 target cells (Nuclight Red+). Cells were cultured in complete medium with 10 ng/ml rhIL-15. Every 24 hours, 2e4 fresh NALM-6 cells were added to the culture and data was recorded for 10 days. Increasing RCU indicates daily addition of new targets and/or outgrowth of tumor cells. Decreasing RCU indicates tumor cell killing by </w:t>
      </w:r>
      <w:r>
        <w:rPr>
          <w:rFonts w:ascii="Arial" w:cs="Arial" w:eastAsia="Arial" w:hAnsi="Arial"/>
          <w:sz w:val="18"/>
          <w:szCs w:val="18"/>
          <w:color w:val="231F20"/>
        </w:rPr>
        <w:t>γδ</w:t>
      </w:r>
      <w:r>
        <w:rPr>
          <w:rFonts w:ascii="Arial" w:cs="Arial" w:eastAsia="Arial" w:hAnsi="Arial"/>
          <w:sz w:val="18"/>
          <w:szCs w:val="18"/>
          <w:i w:val="1"/>
          <w:iCs w:val="1"/>
          <w:color w:val="231F20"/>
        </w:rPr>
        <w:t xml:space="preserve"> CAR-iT cells or PBMC CAR-T cells.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23" w:lineRule="auto"/>
        <w:rPr>
          <w:sz w:val="20"/>
          <w:szCs w:val="20"/>
          <w:color w:val="auto"/>
        </w:rPr>
      </w:pPr>
      <w:r>
        <w:rPr>
          <w:rFonts w:ascii="Arial" w:cs="Arial" w:eastAsia="Arial" w:hAnsi="Arial"/>
          <w:sz w:val="18"/>
          <w:szCs w:val="18"/>
          <w:color w:val="231F20"/>
        </w:rPr>
        <w:t>Collectively, we have made significant progress in deriving iPSC lines that carry Trusted TCRs as well as refining the differentiation process to generate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cells that express a TCR and a CAR. The cells mediate robust killing 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iPSC-derived γδ T cells effective at tumor control as monotherapy and in combination with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146050</wp:posOffset>
            </wp:positionV>
            <wp:extent cx="5554980" cy="25971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5498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0" w:right="919" w:hanging="319"/>
        <w:spacing w:after="0" w:line="271" w:lineRule="auto"/>
        <w:tabs>
          <w:tab w:leader="none" w:pos="7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γδ-EGFR-CAR-T cells demonstrated significant CAR killing of ovarian spheroids B. γδCAR-T demonstrated additive activity in combination with trastuzumab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development candidates</w:t>
      </w:r>
    </w:p>
    <w:p>
      <w:pPr>
        <w:spacing w:after="0" w:line="214" w:lineRule="exact"/>
        <w:rPr>
          <w:sz w:val="20"/>
          <w:szCs w:val="20"/>
          <w:color w:val="auto"/>
        </w:rPr>
      </w:pPr>
    </w:p>
    <w:p>
      <w:pPr>
        <w:ind w:left="60" w:right="79"/>
        <w:spacing w:after="0" w:line="229" w:lineRule="auto"/>
        <w:rPr>
          <w:sz w:val="20"/>
          <w:szCs w:val="20"/>
          <w:color w:val="auto"/>
        </w:rPr>
      </w:pPr>
      <w:r>
        <w:rPr>
          <w:rFonts w:ascii="Arial" w:cs="Arial" w:eastAsia="Arial" w:hAnsi="Arial"/>
          <w:sz w:val="18"/>
          <w:szCs w:val="18"/>
          <w:color w:val="231F20"/>
        </w:rPr>
        <w:t>We are assembling a portfolio of allogeneic iNK and iT cell therapy product candidates across solid tumor and hematological malignancies, and autoimmune and inflammation diseases. This pipeline is comprised of cell therapies that are designed to address diseases where we believe current therapies are inadequate. All product candidates incorporate our proprietary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which is designed to avoid host rejection and potentially increase the durability of clinical responses. Our lead product candidate, CNTY-101, targeting CD19 positive lymphomas is currently being evaluated in a Phase 1 clinical trial in R/R CD19 positive lymphomas and will also be tested in a Phase 1 clinical trial in moderate to severe SLE where B-cell elimination may affect a decline in pathogenic auto-antibodies. Our second product candidate, CNTY-102, is designed to further improve B-cell malignancy treatment. Our third product candidate, CNTY-107, is a Nectin-4 targeted product candidate in solid tumors. Our fourth product candidate, CNTY-104, is being developed in collaboration with Bristol-Myers Squibb to treat AML We are also developing CNTY-106 </w:t>
      </w:r>
      <w:r>
        <w:rPr>
          <w:rFonts w:ascii="Arial" w:cs="Arial" w:eastAsia="Arial" w:hAnsi="Arial"/>
          <w:sz w:val="18"/>
          <w:szCs w:val="18"/>
          <w:color w:val="000000"/>
        </w:rPr>
        <w:t>in collaboration with Bristol-Myers Squibb for multiple</w:t>
      </w:r>
      <w:r>
        <w:rPr>
          <w:rFonts w:ascii="Arial" w:cs="Arial" w:eastAsia="Arial" w:hAnsi="Arial"/>
          <w:sz w:val="18"/>
          <w:szCs w:val="18"/>
          <w:color w:val="231F20"/>
        </w:rPr>
        <w:t xml:space="preserve"> </w:t>
      </w:r>
      <w:r>
        <w:rPr>
          <w:rFonts w:ascii="Arial" w:cs="Arial" w:eastAsia="Arial" w:hAnsi="Arial"/>
          <w:sz w:val="18"/>
          <w:szCs w:val="18"/>
          <w:color w:val="000000"/>
        </w:rPr>
        <w:t>myeloma.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development programs consist of the product candidates illustrated in the pipeline chart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951865</wp:posOffset>
            </wp:positionV>
            <wp:extent cx="5606415" cy="26060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right="139" w:hanging="330"/>
        <w:spacing w:after="0" w:line="249" w:lineRule="auto"/>
        <w:tabs>
          <w:tab w:leader="none" w:pos="380" w:val="left"/>
        </w:tabs>
        <w:numPr>
          <w:ilvl w:val="0"/>
          <w:numId w:val="11"/>
        </w:numPr>
        <w:rPr>
          <w:rFonts w:ascii="Arial" w:cs="Arial" w:eastAsia="Arial" w:hAnsi="Arial"/>
          <w:sz w:val="13"/>
          <w:szCs w:val="13"/>
          <w:color w:val="231F20"/>
        </w:rPr>
      </w:pPr>
      <w:r>
        <w:rPr>
          <w:rFonts w:ascii="Arial" w:cs="Arial" w:eastAsia="Arial" w:hAnsi="Arial"/>
          <w:sz w:val="13"/>
          <w:szCs w:val="13"/>
          <w:color w:val="231F20"/>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and any other product candidate comprised of iNK cells that we develop in the future. CNTY-101 is no longer included in the agreement. Bayer’s rights under the option agreement are subject to important limitations. See “—Licensing, partnership and collaboration— Bayer HealthCare LLC—Option Agreement” for more information.</w:t>
      </w:r>
    </w:p>
    <w:p>
      <w:pPr>
        <w:spacing w:after="0" w:line="182" w:lineRule="exact"/>
        <w:rPr>
          <w:rFonts w:ascii="Arial" w:cs="Arial" w:eastAsia="Arial" w:hAnsi="Arial"/>
          <w:sz w:val="13"/>
          <w:szCs w:val="13"/>
          <w:color w:val="231F20"/>
        </w:rPr>
      </w:pPr>
    </w:p>
    <w:p>
      <w:pPr>
        <w:ind w:left="60" w:right="199" w:hanging="10"/>
        <w:spacing w:after="0" w:line="281" w:lineRule="auto"/>
        <w:tabs>
          <w:tab w:leader="none" w:pos="450" w:val="left"/>
        </w:tabs>
        <w:numPr>
          <w:ilvl w:val="0"/>
          <w:numId w:val="11"/>
        </w:numPr>
        <w:rPr>
          <w:rFonts w:ascii="Arial" w:cs="Arial" w:eastAsia="Arial" w:hAnsi="Arial"/>
          <w:sz w:val="13"/>
          <w:szCs w:val="13"/>
          <w:color w:val="231F20"/>
        </w:rPr>
      </w:pPr>
      <w:r>
        <w:rPr>
          <w:rFonts w:ascii="Arial" w:cs="Arial" w:eastAsia="Arial" w:hAnsi="Arial"/>
          <w:sz w:val="13"/>
          <w:szCs w:val="13"/>
          <w:color w:val="231F20"/>
        </w:rPr>
        <w:t>We entered a collaboration with Bristol-Myers Squibb to develop and commercialize up to four iNK or iT candidates, including CNTY-104 and CNTY-106. See – Licensing, partnership and collaboration – Bristol-Myers Squibb for more information.</w:t>
      </w:r>
    </w:p>
    <w:p>
      <w:pPr>
        <w:spacing w:after="0" w:line="200" w:lineRule="exact"/>
        <w:rPr>
          <w:sz w:val="20"/>
          <w:szCs w:val="20"/>
          <w:color w:val="auto"/>
        </w:rPr>
      </w:pPr>
    </w:p>
    <w:p>
      <w:pPr>
        <w:spacing w:after="0" w:line="323" w:lineRule="exact"/>
        <w:rPr>
          <w:sz w:val="20"/>
          <w:szCs w:val="20"/>
          <w:color w:val="auto"/>
        </w:rPr>
      </w:pPr>
    </w:p>
    <w:p>
      <w:pPr>
        <w:ind w:left="60" w:right="199"/>
        <w:spacing w:after="0" w:line="269" w:lineRule="auto"/>
        <w:rPr>
          <w:sz w:val="20"/>
          <w:szCs w:val="20"/>
          <w:color w:val="auto"/>
        </w:rPr>
      </w:pPr>
      <w:r>
        <w:rPr>
          <w:rFonts w:ascii="Arial" w:cs="Arial" w:eastAsia="Arial" w:hAnsi="Arial"/>
          <w:sz w:val="18"/>
          <w:szCs w:val="18"/>
          <w:i w:val="1"/>
          <w:iCs w:val="1"/>
          <w:color w:val="231F20"/>
        </w:rPr>
        <w:t>CNTY-101: Our CAR-iNK candidate targeting CD19 for relapsed, refractory B-cell lymphoma and for moderate to severe systemic lupus erythematosus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 and development program</w:t>
      </w:r>
    </w:p>
    <w:p>
      <w:pPr>
        <w:spacing w:after="0" w:line="21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231F20"/>
        </w:rPr>
        <w:t>Our lead product candidate, CNTY-101, is an allogeneic, iPSC-derived CAR-iNK cell product for the treatment of CD19 positive B-cell lymphomas, and the treatment of B-cell driven autoimmune diseases including SLE. CNTY-101 has been engineered with the following features:</w:t>
      </w:r>
    </w:p>
    <w:p>
      <w:pPr>
        <w:spacing w:after="0" w:line="169" w:lineRule="exact"/>
        <w:rPr>
          <w:sz w:val="20"/>
          <w:szCs w:val="20"/>
          <w:color w:val="auto"/>
        </w:rPr>
      </w:pPr>
    </w:p>
    <w:p>
      <w:pPr>
        <w:ind w:left="720" w:right="13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expression of CD19 CAR to target malignant B-cells, our CAR construct uses the FMC63 scFv and the signaling domains of CD28 and CD3ζ;</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knock-out of HLA-I and HLA-II to escape elimination by the patient’s CD8 and CD4 T cells;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knock-in of HLA-E to avoid killing by the patient’s NK cells;</w:t>
      </w:r>
    </w:p>
    <w:p>
      <w:pPr>
        <w:spacing w:after="0" w:line="224" w:lineRule="exact"/>
        <w:rPr>
          <w:rFonts w:ascii="Times New Roman" w:cs="Times New Roman" w:eastAsia="Times New Roman" w:hAnsi="Times New Roman"/>
          <w:sz w:val="18"/>
          <w:szCs w:val="18"/>
          <w:color w:val="231F20"/>
        </w:rPr>
      </w:pPr>
    </w:p>
    <w:p>
      <w:pPr>
        <w:ind w:left="720" w:right="2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expression of IL-15 to provide homeostatic cytokine support to improve persistence and functionality; and</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incorporation of an EGFR safety switch to allow for elimination of the product if necessary.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231F20"/>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16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Recently, autologous CD19 targeted CAR T cell therapies have shown promising remisions in B-cell driven autoimmune diseases albeit for limited patient numbers.</w:t>
      </w:r>
    </w:p>
    <w:p>
      <w:pPr>
        <w:spacing w:after="0" w:line="206" w:lineRule="exact"/>
        <w:rPr>
          <w:sz w:val="20"/>
          <w:szCs w:val="20"/>
          <w:color w:val="auto"/>
        </w:rPr>
      </w:pPr>
    </w:p>
    <w:p>
      <w:pPr>
        <w:ind w:left="60" w:right="159"/>
        <w:spacing w:after="0" w:line="225" w:lineRule="auto"/>
        <w:rPr>
          <w:sz w:val="20"/>
          <w:szCs w:val="20"/>
          <w:color w:val="auto"/>
        </w:rPr>
      </w:pPr>
      <w:r>
        <w:rPr>
          <w:rFonts w:ascii="Arial" w:cs="Arial" w:eastAsia="Arial" w:hAnsi="Arial"/>
          <w:sz w:val="18"/>
          <w:szCs w:val="18"/>
          <w:color w:val="231F20"/>
        </w:rPr>
        <w:t>The inclusion of a validated CAR construct in our first product candidate eliminates a key variable, i.e. the performance of a novel CAR construct, better enabling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137795</wp:posOffset>
            </wp:positionV>
            <wp:extent cx="5006340" cy="2185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0634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right="139"/>
        <w:spacing w:after="0" w:line="269" w:lineRule="auto"/>
        <w:rPr>
          <w:sz w:val="20"/>
          <w:szCs w:val="20"/>
          <w:color w:val="auto"/>
        </w:rPr>
      </w:pPr>
      <w:r>
        <w:rPr>
          <w:rFonts w:ascii="Arial" w:cs="Arial" w:eastAsia="Arial" w:hAnsi="Arial"/>
          <w:sz w:val="18"/>
          <w:szCs w:val="18"/>
          <w:i w:val="1"/>
          <w:iCs w:val="1"/>
          <w:color w:val="231F20"/>
        </w:rPr>
        <w:t>Left panel: engineered features of CNTY-101. Right panel: structure of the CD19 CAR construct used in CNTY-101</w:t>
      </w:r>
    </w:p>
    <w:p>
      <w:pPr>
        <w:spacing w:after="0" w:line="155"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 xml:space="preserve">We completed engineering of iPSC lines from five different donors and single cell cloning of numerous iPSC lines. The single cell clones underwent genotype and phenotype identity, purity, safety, manufacturability, and </w:t>
      </w:r>
      <w:r>
        <w:rPr>
          <w:rFonts w:ascii="Arial" w:cs="Arial" w:eastAsia="Arial" w:hAnsi="Arial"/>
          <w:sz w:val="18"/>
          <w:szCs w:val="18"/>
          <w:i w:val="1"/>
          <w:iCs w:val="1"/>
          <w:color w:val="231F20"/>
        </w:rPr>
        <w:t>in</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vitro </w:t>
      </w:r>
      <w:r>
        <w:rPr>
          <w:rFonts w:ascii="Arial" w:cs="Arial" w:eastAsia="Arial" w:hAnsi="Arial"/>
          <w:sz w:val="18"/>
          <w:szCs w:val="18"/>
          <w:color w:val="231F20"/>
        </w:rPr>
        <w:t>and</w:t>
      </w:r>
      <w:r>
        <w:rPr>
          <w:rFonts w:ascii="Arial" w:cs="Arial" w:eastAsia="Arial" w:hAnsi="Arial"/>
          <w:sz w:val="18"/>
          <w:szCs w:val="18"/>
          <w:i w:val="1"/>
          <w:iCs w:val="1"/>
          <w:color w:val="231F20"/>
        </w:rPr>
        <w:t xml:space="preserve"> in vivo </w:t>
      </w:r>
      <w:r>
        <w:rPr>
          <w:rFonts w:ascii="Arial" w:cs="Arial" w:eastAsia="Arial" w:hAnsi="Arial"/>
          <w:sz w:val="18"/>
          <w:szCs w:val="18"/>
          <w:color w:val="231F20"/>
        </w:rPr>
        <w:t>functional testing. CD19 iNK single cell clones demonstrate significant cytotoxicity</w:t>
      </w:r>
      <w:r>
        <w:rPr>
          <w:rFonts w:ascii="Arial" w:cs="Arial" w:eastAsia="Arial" w:hAnsi="Arial"/>
          <w:sz w:val="18"/>
          <w:szCs w:val="18"/>
          <w:i w:val="1"/>
          <w:iCs w:val="1"/>
          <w:color w:val="231F20"/>
        </w:rPr>
        <w:t xml:space="preserve"> in vitro </w:t>
      </w:r>
      <w:r>
        <w:rPr>
          <w:rFonts w:ascii="Arial" w:cs="Arial" w:eastAsia="Arial" w:hAnsi="Arial"/>
          <w:sz w:val="18"/>
          <w:szCs w:val="18"/>
          <w:color w:val="231F20"/>
        </w:rPr>
        <w:t xml:space="preserve">comparable to CAR-T controls, and numerous cycles of serial killing after repeated challenge with lymphoma cells. CNTY-101 single cell clones also demonstrate IL-15 expression and persistence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as well as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tumor growth inhibition. We received an allowance to proceed notification from the FDA in August 2022 and have advanced CNTY-101 into a Phase 1 clinical trial named ELiPSE-1, in which we began dosing patients in February 2023.</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Preclinical studies and selection of the final product candidate for CNTY-101</w:t>
      </w:r>
    </w:p>
    <w:p>
      <w:pPr>
        <w:spacing w:after="0" w:line="210" w:lineRule="exact"/>
        <w:rPr>
          <w:sz w:val="20"/>
          <w:szCs w:val="20"/>
          <w:color w:val="auto"/>
        </w:rPr>
      </w:pPr>
    </w:p>
    <w:p>
      <w:pPr>
        <w:ind w:left="60" w:right="399"/>
        <w:spacing w:after="0" w:line="301" w:lineRule="auto"/>
        <w:rPr>
          <w:sz w:val="20"/>
          <w:szCs w:val="20"/>
          <w:color w:val="auto"/>
        </w:rPr>
      </w:pPr>
      <w:r>
        <w:rPr>
          <w:rFonts w:ascii="Arial" w:cs="Arial" w:eastAsia="Arial" w:hAnsi="Arial"/>
          <w:sz w:val="17"/>
          <w:szCs w:val="17"/>
          <w:color w:val="231F20"/>
        </w:rPr>
        <w:t>To identify the CNTY-101 clinical candidate, we engineered iPSC lines from five different donors. The initial characterization studies were done with bulk cells prior to single cell cloning (bulk-engineered cells), and we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79"/>
        <w:spacing w:after="0" w:line="216" w:lineRule="auto"/>
        <w:rPr>
          <w:sz w:val="20"/>
          <w:szCs w:val="20"/>
          <w:color w:val="auto"/>
        </w:rPr>
      </w:pPr>
      <w:r>
        <w:rPr>
          <w:rFonts w:ascii="Arial" w:cs="Arial" w:eastAsia="Arial" w:hAnsi="Arial"/>
          <w:sz w:val="18"/>
          <w:szCs w:val="18"/>
          <w:color w:val="231F20"/>
        </w:rPr>
        <w:t>generated additional data with single-cell clones. To identify the candidate, we narrowed down to six clonal cell lines derived from two donors. The initial evaluation of the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features and safety switch was done on bulk-engineered iPSC lines.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studies with bulk-engineered CAR-iNK cells</w:t>
      </w:r>
    </w:p>
    <w:p>
      <w:pPr>
        <w:spacing w:after="0" w:line="127" w:lineRule="exact"/>
        <w:rPr>
          <w:sz w:val="20"/>
          <w:szCs w:val="20"/>
          <w:color w:val="auto"/>
        </w:rPr>
      </w:pPr>
    </w:p>
    <w:p>
      <w:pPr>
        <w:ind w:left="60" w:right="119"/>
        <w:spacing w:after="0" w:line="226" w:lineRule="auto"/>
        <w:rPr>
          <w:sz w:val="20"/>
          <w:szCs w:val="20"/>
          <w:color w:val="auto"/>
        </w:rPr>
      </w:pPr>
      <w:r>
        <w:rPr>
          <w:rFonts w:ascii="Arial" w:cs="Arial" w:eastAsia="Arial" w:hAnsi="Arial"/>
          <w:sz w:val="18"/>
          <w:szCs w:val="18"/>
          <w:color w:val="231F20"/>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 candidates, HLA-I will be uniformly absent from all iNK cells.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137795</wp:posOffset>
            </wp:positionV>
            <wp:extent cx="3171825" cy="2417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182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i w:val="1"/>
          <w:iCs w:val="1"/>
          <w:color w:val="231F20"/>
        </w:rPr>
        <w:t xml:space="preserve">Elimination of HLA-I prevents allogeneic immune recognition of iNK cells by CD8 T cells. To determine if removal of HLA-I via </w:t>
      </w:r>
      <w:r>
        <w:rPr>
          <w:rFonts w:ascii="Arial" w:cs="Arial" w:eastAsia="Arial" w:hAnsi="Arial"/>
          <w:sz w:val="18"/>
          <w:szCs w:val="18"/>
          <w:color w:val="231F20"/>
        </w:rPr>
        <w:t>β</w:t>
      </w:r>
      <w:r>
        <w:rPr>
          <w:rFonts w:ascii="Arial" w:cs="Arial" w:eastAsia="Arial" w:hAnsi="Arial"/>
          <w:sz w:val="18"/>
          <w:szCs w:val="18"/>
          <w:i w:val="1"/>
          <w:iCs w:val="1"/>
          <w:color w:val="231F20"/>
        </w:rPr>
        <w:t>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152" w:lineRule="exact"/>
        <w:rPr>
          <w:sz w:val="20"/>
          <w:szCs w:val="20"/>
          <w:color w:val="auto"/>
        </w:rPr>
      </w:pPr>
    </w:p>
    <w:p>
      <w:pPr>
        <w:ind w:left="60" w:right="159"/>
        <w:spacing w:after="0" w:line="237" w:lineRule="auto"/>
        <w:rPr>
          <w:sz w:val="20"/>
          <w:szCs w:val="20"/>
          <w:color w:val="auto"/>
        </w:rPr>
      </w:pPr>
      <w:r>
        <w:rPr>
          <w:rFonts w:ascii="Arial" w:cs="Arial" w:eastAsia="Arial" w:hAnsi="Arial"/>
          <w:sz w:val="17"/>
          <w:szCs w:val="17"/>
          <w:color w:val="231F20"/>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5"/>
          <w:szCs w:val="25"/>
          <w:color w:val="231F20"/>
          <w:vertAlign w:val="superscript"/>
        </w:rPr>
        <w:t>TM</w:t>
      </w:r>
      <w:r>
        <w:rPr>
          <w:rFonts w:ascii="Arial" w:cs="Arial" w:eastAsia="Arial" w:hAnsi="Arial"/>
          <w:sz w:val="17"/>
          <w:szCs w:val="17"/>
          <w:color w:val="231F20"/>
        </w:rPr>
        <w:t xml:space="preserve"> technology, we engineered the expression of HLA-E, a monomorphic MHC Class I related molecule to prevent the killing of the HLA-I null iNK cells. HLA-E engages an inhibitory receptor, NKG2A on NK cells and prevents their cytolytic activity. Our data with engineered iNK cells indicated that HLA-E has mitigated the killing of the null iNK cells.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0" w:right="79"/>
        <w:spacing w:after="0" w:line="281" w:lineRule="auto"/>
        <w:rPr>
          <w:sz w:val="20"/>
          <w:szCs w:val="20"/>
          <w:color w:val="auto"/>
        </w:rPr>
      </w:pPr>
      <w:r>
        <w:rPr>
          <w:rFonts w:ascii="Arial" w:cs="Arial" w:eastAsia="Arial" w:hAnsi="Arial"/>
          <w:sz w:val="18"/>
          <w:szCs w:val="18"/>
          <w:b w:val="1"/>
          <w:bCs w:val="1"/>
          <w:color w:val="231F20"/>
        </w:rPr>
        <w:t>Expression of HLA-E prevents killing of iNK cells 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90170</wp:posOffset>
            </wp:positionV>
            <wp:extent cx="3171825" cy="2494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7182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 xml:space="preserve">iNK cells were derived from three different iPSC lines. A non-engineered iPSC line that carries an intact </w:t>
      </w:r>
      <w:r>
        <w:rPr>
          <w:rFonts w:ascii="Calibri" w:cs="Calibri" w:eastAsia="Calibri" w:hAnsi="Calibri"/>
          <w:sz w:val="18"/>
          <w:szCs w:val="18"/>
          <w:color w:val="231F20"/>
        </w:rPr>
        <w:t>β</w:t>
      </w:r>
      <w:r>
        <w:rPr>
          <w:rFonts w:ascii="Arial" w:cs="Arial" w:eastAsia="Arial" w:hAnsi="Arial"/>
          <w:sz w:val="18"/>
          <w:szCs w:val="18"/>
          <w:color w:val="231F20"/>
        </w:rPr>
        <w:t>2M</w:t>
      </w:r>
    </w:p>
    <w:p>
      <w:pPr>
        <w:spacing w:after="0" w:line="14" w:lineRule="exact"/>
        <w:rPr>
          <w:sz w:val="20"/>
          <w:szCs w:val="20"/>
          <w:color w:val="auto"/>
        </w:rPr>
      </w:pPr>
    </w:p>
    <w:p>
      <w:pPr>
        <w:ind w:left="60" w:right="59"/>
        <w:spacing w:after="0" w:line="211" w:lineRule="auto"/>
        <w:rPr>
          <w:sz w:val="20"/>
          <w:szCs w:val="20"/>
          <w:color w:val="auto"/>
        </w:rPr>
      </w:pPr>
      <w:r>
        <w:rPr>
          <w:rFonts w:ascii="Arial" w:cs="Arial" w:eastAsia="Arial" w:hAnsi="Arial"/>
          <w:sz w:val="17"/>
          <w:szCs w:val="17"/>
          <w:color w:val="231F20"/>
        </w:rPr>
        <w:t>gene was used to prepare iNK cells that are HLA-I</w:t>
      </w:r>
      <w:r>
        <w:rPr>
          <w:rFonts w:ascii="Arial" w:cs="Arial" w:eastAsia="Arial" w:hAnsi="Arial"/>
          <w:sz w:val="25"/>
          <w:szCs w:val="25"/>
          <w:color w:val="231F20"/>
          <w:vertAlign w:val="superscript"/>
        </w:rPr>
        <w:t>+</w:t>
      </w:r>
      <w:r>
        <w:rPr>
          <w:rFonts w:ascii="Arial" w:cs="Arial" w:eastAsia="Arial" w:hAnsi="Arial"/>
          <w:sz w:val="17"/>
          <w:szCs w:val="17"/>
          <w:color w:val="231F20"/>
        </w:rPr>
        <w:t xml:space="preserve">. A version of the same iPSC line was then engineered to knockout, or KO, the gene </w:t>
      </w:r>
      <w:r>
        <w:rPr>
          <w:rFonts w:ascii="Calibri" w:cs="Calibri" w:eastAsia="Calibri" w:hAnsi="Calibri"/>
          <w:sz w:val="17"/>
          <w:szCs w:val="17"/>
          <w:color w:val="231F20"/>
        </w:rPr>
        <w:t>β</w:t>
      </w:r>
      <w:r>
        <w:rPr>
          <w:rFonts w:ascii="Arial" w:cs="Arial" w:eastAsia="Arial" w:hAnsi="Arial"/>
          <w:sz w:val="17"/>
          <w:szCs w:val="17"/>
          <w:color w:val="231F20"/>
        </w:rPr>
        <w:t>2M in order to ablate HLA-I expression. Finally, a version of the same iPSC line was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 xml:space="preserve">engineered to both delete </w:t>
      </w:r>
      <w:r>
        <w:rPr>
          <w:rFonts w:ascii="Calibri" w:cs="Calibri" w:eastAsia="Calibri" w:hAnsi="Calibri"/>
          <w:sz w:val="18"/>
          <w:szCs w:val="18"/>
          <w:color w:val="231F20"/>
        </w:rPr>
        <w:t>β</w:t>
      </w:r>
      <w:r>
        <w:rPr>
          <w:rFonts w:ascii="Arial" w:cs="Arial" w:eastAsia="Arial" w:hAnsi="Arial"/>
          <w:sz w:val="18"/>
          <w:szCs w:val="18"/>
          <w:color w:val="231F20"/>
        </w:rPr>
        <w:t>2M and transgenically express the gene HLA-E. iNK cells that express HLA-I are</w:t>
      </w:r>
    </w:p>
    <w:p>
      <w:pPr>
        <w:spacing w:after="0" w:line="10"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231F20"/>
        </w:rPr>
        <w:t>mostly spared from lysis in an allogenic co-culture with PBMC (including NK cells) from two different donors. However, iNK cells lacking HLA-I (</w:t>
      </w:r>
      <w:r>
        <w:rPr>
          <w:rFonts w:ascii="Calibri" w:cs="Calibri" w:eastAsia="Calibri" w:hAnsi="Calibri"/>
          <w:sz w:val="17"/>
          <w:szCs w:val="17"/>
          <w:color w:val="231F20"/>
        </w:rPr>
        <w:t>β</w:t>
      </w:r>
      <w:r>
        <w:rPr>
          <w:rFonts w:ascii="Arial" w:cs="Arial" w:eastAsia="Arial" w:hAnsi="Arial"/>
          <w:sz w:val="17"/>
          <w:szCs w:val="17"/>
          <w:color w:val="231F20"/>
        </w:rPr>
        <w:t>2M KO) are lysed by NK cells. Finally, expression of HLA-E on iNK cells that</w:t>
      </w:r>
    </w:p>
    <w:p>
      <w:pPr>
        <w:ind w:left="60"/>
        <w:spacing w:after="0"/>
        <w:rPr>
          <w:sz w:val="20"/>
          <w:szCs w:val="20"/>
          <w:color w:val="auto"/>
        </w:rPr>
      </w:pPr>
      <w:r>
        <w:rPr>
          <w:rFonts w:ascii="Arial" w:cs="Arial" w:eastAsia="Arial" w:hAnsi="Arial"/>
          <w:sz w:val="18"/>
          <w:szCs w:val="18"/>
          <w:color w:val="231F20"/>
        </w:rPr>
        <w:t>lack other HLA-I molecules are spared from lysis by allogenic NK cells.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Evaluation of the EGFR safety switch with bulk engineered CAR-iNK cells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w:t>
      </w:r>
    </w:p>
    <w:p>
      <w:pPr>
        <w:spacing w:after="0" w:line="17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 xml:space="preserve">Cetuximab engages FcγR on innate immune cells, such as NK cells and macrophages, to eliminate EFGR-expressing cells through ADCC or ADCP. Our preliminary data from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studies indicated that the cetuximab can effectively trigger the elimination of iNK cells engineered with our EGFR safety switch from different tissues including blood, liver and lungs.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137795</wp:posOffset>
            </wp:positionV>
            <wp:extent cx="5057775" cy="256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5777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0" w:right="99"/>
        <w:spacing w:after="0" w:line="252" w:lineRule="auto"/>
        <w:rPr>
          <w:sz w:val="20"/>
          <w:szCs w:val="20"/>
          <w:color w:val="auto"/>
        </w:rPr>
      </w:pPr>
      <w:r>
        <w:rPr>
          <w:rFonts w:ascii="Arial" w:cs="Arial" w:eastAsia="Arial" w:hAnsi="Arial"/>
          <w:sz w:val="18"/>
          <w:szCs w:val="18"/>
          <w:i w:val="1"/>
          <w:iCs w:val="1"/>
          <w:color w:val="231F20"/>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cloning of engineered iPSC from different donors to identify the final clinical candidate</w:t>
      </w:r>
    </w:p>
    <w:p>
      <w:pPr>
        <w:spacing w:after="0" w:line="210" w:lineRule="exact"/>
        <w:rPr>
          <w:sz w:val="20"/>
          <w:szCs w:val="20"/>
          <w:color w:val="auto"/>
        </w:rPr>
      </w:pPr>
    </w:p>
    <w:p>
      <w:pPr>
        <w:ind w:left="60" w:right="179"/>
        <w:spacing w:after="0"/>
        <w:rPr>
          <w:sz w:val="20"/>
          <w:szCs w:val="20"/>
          <w:color w:val="auto"/>
        </w:rPr>
      </w:pPr>
      <w:r>
        <w:rPr>
          <w:rFonts w:ascii="Arial" w:cs="Arial" w:eastAsia="Arial" w:hAnsi="Arial"/>
          <w:sz w:val="18"/>
          <w:szCs w:val="18"/>
          <w:color w:val="231F20"/>
        </w:rPr>
        <w:t xml:space="preserve">We completed the single cell cloning of engineered iPSC lines from five different donors. The single cell clones were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functional and manufacturability screens. We narrowed down the number of candidates to six clonal lines from two different donors. These lines were evaluated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for final clinical candidate selection, and have advanced CNTY-101 into a Phase 1 clinical trial, ELiPSE-1, and began dosing patients in February 2023.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137795</wp:posOffset>
            </wp:positionV>
            <wp:extent cx="5177790" cy="19970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777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Selected single-cell clones express engineered transgenes in virtually all cells after expansion</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231F20"/>
        </w:rPr>
        <w:t>We ran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4071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2061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right="179"/>
        <w:spacing w:after="0" w:line="252" w:lineRule="auto"/>
        <w:rPr>
          <w:sz w:val="20"/>
          <w:szCs w:val="20"/>
          <w:color w:val="auto"/>
        </w:rPr>
      </w:pPr>
      <w:r>
        <w:rPr>
          <w:rFonts w:ascii="Arial" w:cs="Arial" w:eastAsia="Arial" w:hAnsi="Arial"/>
          <w:sz w:val="18"/>
          <w:szCs w:val="18"/>
          <w:i w:val="1"/>
          <w:iCs w:val="1"/>
          <w:color w:val="231F20"/>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170" w:lineRule="exact"/>
        <w:rPr>
          <w:sz w:val="20"/>
          <w:szCs w:val="20"/>
          <w:color w:val="auto"/>
        </w:rPr>
      </w:pPr>
    </w:p>
    <w:p>
      <w:pPr>
        <w:jc w:val="center"/>
        <w:ind w:left="1580"/>
        <w:spacing w:after="0" w:line="281" w:lineRule="auto"/>
        <w:rPr>
          <w:sz w:val="20"/>
          <w:szCs w:val="20"/>
          <w:color w:val="auto"/>
        </w:rPr>
      </w:pPr>
      <w:r>
        <w:rPr>
          <w:rFonts w:ascii="Arial" w:cs="Arial" w:eastAsia="Arial" w:hAnsi="Arial"/>
          <w:sz w:val="18"/>
          <w:szCs w:val="18"/>
          <w:b w:val="1"/>
          <w:bCs w:val="1"/>
          <w:color w:val="231F20"/>
        </w:rPr>
        <w:t xml:space="preserve">Functional analysis of iNK cells generated from individual iPSC clones reveals meaningful differences in the </w:t>
      </w:r>
      <w:r>
        <w:rPr>
          <w:rFonts w:ascii="Arial" w:cs="Arial" w:eastAsia="Arial" w:hAnsi="Arial"/>
          <w:sz w:val="18"/>
          <w:szCs w:val="18"/>
          <w:b w:val="1"/>
          <w:bCs w:val="1"/>
          <w:i w:val="1"/>
          <w:iCs w:val="1"/>
          <w:color w:val="231F20"/>
        </w:rPr>
        <w:t>in vitro</w:t>
      </w:r>
      <w:r>
        <w:rPr>
          <w:rFonts w:ascii="Arial" w:cs="Arial" w:eastAsia="Arial" w:hAnsi="Arial"/>
          <w:sz w:val="18"/>
          <w:szCs w:val="18"/>
          <w:b w:val="1"/>
          <w:bCs w:val="1"/>
          <w:color w:val="231F20"/>
        </w:rPr>
        <w:t xml:space="preserve"> persistence and killing capacity of clinical candidates.</w:t>
      </w:r>
    </w:p>
    <w:p>
      <w:pPr>
        <w:spacing w:after="0" w:line="13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231F20"/>
        </w:rPr>
        <w:t xml:space="preserve">In addition to assuring uniform transgene expression in the clones under consideration for clinical candidate selection, we compared two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231F20"/>
        </w:rPr>
        <w:t>there was a meaningful difference between clones in the recovery of iNK cells after a seven day culture, with three clones demonstrating particularly favorable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100965</wp:posOffset>
            </wp:positionV>
            <wp:extent cx="5143500" cy="2143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right="179"/>
        <w:spacing w:after="0" w:line="227" w:lineRule="auto"/>
        <w:rPr>
          <w:sz w:val="20"/>
          <w:szCs w:val="20"/>
          <w:color w:val="auto"/>
        </w:rPr>
      </w:pPr>
      <w:r>
        <w:rPr>
          <w:rFonts w:ascii="Arial" w:cs="Arial" w:eastAsia="Arial" w:hAnsi="Arial"/>
          <w:sz w:val="18"/>
          <w:szCs w:val="18"/>
          <w:i w:val="1"/>
          <w:iCs w:val="1"/>
          <w:color w:val="231F20"/>
        </w:rPr>
        <w:t>Average iNK cell number as measured by flow cytometry at the conclusion of the 7-day persistence assay. iNK cells were cultured alone or in co-culture with CD19</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NALM6 or REH cells at an effector to target ratio of 1:1 in the absence of any exogenous cytokine support for 7 days and then analyzed by flow cytometry. The iNK cell population was defined as live, CD45</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CD56</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cells.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clones mediate serial killing of lymphoma cells</w:t>
      </w:r>
    </w:p>
    <w:p>
      <w:pPr>
        <w:spacing w:after="0" w:line="210"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231F20"/>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7"/>
          <w:szCs w:val="17"/>
          <w:i w:val="1"/>
          <w:iCs w:val="1"/>
          <w:color w:val="231F20"/>
        </w:rPr>
        <w:t>in vitro</w:t>
      </w:r>
      <w:r>
        <w:rPr>
          <w:rFonts w:ascii="Arial" w:cs="Arial" w:eastAsia="Arial" w:hAnsi="Arial"/>
          <w:sz w:val="17"/>
          <w:szCs w:val="17"/>
          <w:color w:val="231F20"/>
        </w:rPr>
        <w:t xml:space="preserve"> assays to characterize and distinguish CAR-iNK cell clones. Our most potent clones have sustained serial killing activity for over ten rounds of killing. These clones progressed to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studies for characterization of their anti-tumor activity against human lymphoma xenografts. These </w:t>
      </w:r>
      <w:r>
        <w:rPr>
          <w:rFonts w:ascii="Arial" w:cs="Arial" w:eastAsia="Arial" w:hAnsi="Arial"/>
          <w:sz w:val="17"/>
          <w:szCs w:val="17"/>
          <w:i w:val="1"/>
          <w:iCs w:val="1"/>
          <w:color w:val="231F20"/>
        </w:rPr>
        <w:t>in</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vivo </w:t>
      </w:r>
      <w:r>
        <w:rPr>
          <w:rFonts w:ascii="Arial" w:cs="Arial" w:eastAsia="Arial" w:hAnsi="Arial"/>
          <w:sz w:val="17"/>
          <w:szCs w:val="17"/>
          <w:color w:val="231F20"/>
        </w:rPr>
        <w:t>studies determined the selection of the iPSC clone to generate the CNTY-101 clinical candidate.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2434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i w:val="1"/>
          <w:iCs w:val="1"/>
          <w:color w:val="231F20"/>
        </w:rPr>
        <w:t>To demonstrate the ability of our clonal CAR-iNK cells to kill lymphoma cells over multiple rounds of tumor challenge, NuclightRed labeled Nalm-6 CD19+ lymphoma cells were cocultured with iNK clones at an E:T ratio of 5:1. The 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 xml:space="preserve">Assessment of CNTY-101 inhibition of tumor growth </w:t>
      </w:r>
      <w:r>
        <w:rPr>
          <w:rFonts w:ascii="Arial" w:cs="Arial" w:eastAsia="Arial" w:hAnsi="Arial"/>
          <w:sz w:val="18"/>
          <w:szCs w:val="18"/>
          <w:b w:val="1"/>
          <w:bCs w:val="1"/>
          <w:i w:val="1"/>
          <w:iCs w:val="1"/>
          <w:color w:val="231F20"/>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137795</wp:posOffset>
            </wp:positionV>
            <wp:extent cx="2914650" cy="26574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The anti-tumor activity of CNTY-101 was evaluated in vivo using fresh cultured CNTY-101 iNK cells or frozen</w:t>
      </w:r>
    </w:p>
    <w:p>
      <w:pPr>
        <w:ind w:left="960"/>
        <w:spacing w:after="0"/>
        <w:rPr>
          <w:sz w:val="20"/>
          <w:szCs w:val="20"/>
          <w:color w:val="auto"/>
        </w:rPr>
      </w:pPr>
      <w:r>
        <w:rPr>
          <w:rFonts w:ascii="Arial" w:cs="Arial" w:eastAsia="Arial" w:hAnsi="Arial"/>
          <w:sz w:val="13"/>
          <w:szCs w:val="13"/>
          <w:i w:val="1"/>
          <w:iCs w:val="1"/>
          <w:color w:val="231F20"/>
        </w:rPr>
        <w:t>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cells. 1x10  luciferase-labeled NALM-6 lymphoma cells were administered IV on day zero. CNTY-101 iNK cells</w:t>
      </w:r>
    </w:p>
    <w:p>
      <w:pPr>
        <w:spacing w:after="0" w:line="35" w:lineRule="exact"/>
        <w:rPr>
          <w:sz w:val="20"/>
          <w:szCs w:val="20"/>
          <w:color w:val="auto"/>
        </w:rPr>
      </w:pPr>
    </w:p>
    <w:p>
      <w:pPr>
        <w:ind w:left="60" w:right="299"/>
        <w:spacing w:after="0" w:line="219" w:lineRule="auto"/>
        <w:rPr>
          <w:sz w:val="20"/>
          <w:szCs w:val="20"/>
          <w:color w:val="auto"/>
        </w:rPr>
      </w:pPr>
      <w:r>
        <w:rPr>
          <w:rFonts w:ascii="Arial" w:cs="Arial" w:eastAsia="Arial" w:hAnsi="Arial"/>
          <w:sz w:val="18"/>
          <w:szCs w:val="18"/>
          <w:i w:val="1"/>
          <w:iCs w:val="1"/>
          <w:color w:val="231F20"/>
        </w:rPr>
        <w:t>were given IV as fresh (10x10</w:t>
      </w:r>
      <w:r>
        <w:rPr>
          <w:rFonts w:ascii="Arial" w:cs="Arial" w:eastAsia="Arial" w:hAnsi="Arial"/>
          <w:sz w:val="26"/>
          <w:szCs w:val="26"/>
          <w:i w:val="1"/>
          <w:iCs w:val="1"/>
          <w:color w:val="231F20"/>
          <w:vertAlign w:val="superscript"/>
        </w:rPr>
        <w:t>6</w:t>
      </w:r>
      <w:r>
        <w:rPr>
          <w:rFonts w:ascii="Arial" w:cs="Arial" w:eastAsia="Arial" w:hAnsi="Arial"/>
          <w:sz w:val="18"/>
          <w:szCs w:val="18"/>
          <w:i w:val="1"/>
          <w:iCs w:val="1"/>
          <w:color w:val="231F20"/>
        </w:rPr>
        <w:t xml:space="preserve"> cells) or cryo-preserved cells (15x10</w:t>
      </w:r>
      <w:r>
        <w:rPr>
          <w:rFonts w:ascii="Arial" w:cs="Arial" w:eastAsia="Arial" w:hAnsi="Arial"/>
          <w:sz w:val="26"/>
          <w:szCs w:val="26"/>
          <w:i w:val="1"/>
          <w:iCs w:val="1"/>
          <w:color w:val="231F20"/>
          <w:vertAlign w:val="superscript"/>
        </w:rPr>
        <w:t>6</w:t>
      </w:r>
      <w:r>
        <w:rPr>
          <w:rFonts w:ascii="Arial" w:cs="Arial" w:eastAsia="Arial" w:hAnsi="Arial"/>
          <w:sz w:val="18"/>
          <w:szCs w:val="18"/>
          <w:i w:val="1"/>
          <w:iCs w:val="1"/>
          <w:color w:val="231F20"/>
        </w:rPr>
        <w:t xml:space="preserve"> cells) on Days 1, 8, and 15. Mice were imaged every 3-4 days using the IVIS SpectrumCT imager. CNTY-101 mediated significant anti-tumor growth inhibition when administered as fresh or cryo-preserved cells.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clones eliminate CD19+ B-cells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One of the key hallmarks of approved CD19 CAR-T cell therapy is the observation that patients who respond to treatment have B-cell aplasia (loss of B-cells). Because normal B-cells express CD19, B-cell aplasia is expected during CD19 CAR-T cell treatment and has been used as a pharmacodynamic indicator of CAR-T cell activity. To determine whether our CD19 CAR-iNK cells eliminate normal B-cells, we used B cells from four different allogeneic donors and incubated them with our top candidate iNK single cell clones. After 48 hours in culture, all iNK clones showed robust killing of B-cells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Elimination of B-Cells in Co-cultures of PBMCs with CAR-iNK Cells Derived from Single-Cell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128905</wp:posOffset>
            </wp:positionV>
            <wp:extent cx="4303395" cy="28460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033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231F20"/>
        </w:rPr>
        <w:t>Elimination of normal B-cells from whole PBMCs by our top candidate iNK single-cell clones</w:t>
      </w:r>
      <w:r>
        <w:rPr>
          <w:rFonts w:ascii="Arial" w:cs="Arial" w:eastAsia="Arial" w:hAnsi="Arial"/>
          <w:sz w:val="18"/>
          <w:szCs w:val="18"/>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i w:val="1"/>
          <w:iCs w:val="1"/>
          <w:color w:val="231F20"/>
        </w:rPr>
        <w:t>To</w:t>
      </w:r>
      <w:r>
        <w:rPr>
          <w:rFonts w:ascii="Arial" w:cs="Arial" w:eastAsia="Arial" w:hAnsi="Arial"/>
          <w:sz w:val="18"/>
          <w:szCs w:val="18"/>
          <w:b w:val="1"/>
          <w:bCs w:val="1"/>
          <w:i w:val="1"/>
          <w:iCs w:val="1"/>
          <w:color w:val="231F20"/>
        </w:rPr>
        <w:t xml:space="preserve"> </w:t>
      </w:r>
      <w:r>
        <w:rPr>
          <w:rFonts w:ascii="Arial" w:cs="Arial" w:eastAsia="Arial" w:hAnsi="Arial"/>
          <w:sz w:val="18"/>
          <w:szCs w:val="18"/>
          <w:i w:val="1"/>
          <w:iCs w:val="1"/>
          <w:color w:val="231F20"/>
        </w:rPr>
        <w:t>evaluate B-cell killing activity in-vitro, CAR-iNK cells derived from six single-cell 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 vitro B-cell depletion by CNTY-101</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231F20"/>
        </w:rPr>
        <w:t>Use of CNTY-101 to deplete B-cells and reduce or eliminate autoantibody formation is supported by preclinical evaluation of in vitro B-cell killing by CNTY-101 compared with internally-generated CAR T cells from healthy donors.</w:t>
      </w:r>
    </w:p>
    <w:p>
      <w:pPr>
        <w:spacing w:after="0" w:line="15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231F20"/>
        </w:rPr>
        <w:t>In this study, we compared the percent cytolysis of healthy donor B-cells from three different donors at different effector to target ratios at 24 hours, and found comparable cytolysis of B-cells by CNTY-101 (in blue) as compared with CAR T cells (in red), with untransduced cell controls shown in black. We observed a similar result of comparable B-cell killing by CNTY-101 compared with CAR T cell preparations of SLE patient B cells from three donors.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20" w:right="159" w:hanging="319"/>
        <w:spacing w:after="0" w:line="256" w:lineRule="auto"/>
        <w:tabs>
          <w:tab w:leader="none" w:pos="72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Isolated B-cells or CD19+ target cells were co-cultured with D21 iNK (CNTY-101 or 611) at several E:Ts in 96-well U bottom plates in NKCM with assay harvested at 24h.</w:t>
      </w:r>
    </w:p>
    <w:p>
      <w:pPr>
        <w:ind w:left="720" w:right="779" w:hanging="319"/>
        <w:spacing w:after="0" w:line="264" w:lineRule="auto"/>
        <w:tabs>
          <w:tab w:leader="none" w:pos="720" w:val="left"/>
        </w:tabs>
        <w:numPr>
          <w:ilvl w:val="0"/>
          <w:numId w:val="13"/>
        </w:numPr>
        <w:rPr>
          <w:rFonts w:ascii="Times New Roman" w:cs="Times New Roman" w:eastAsia="Times New Roman" w:hAnsi="Times New Roman"/>
          <w:sz w:val="16"/>
          <w:szCs w:val="16"/>
          <w:color w:val="231F20"/>
        </w:rPr>
      </w:pPr>
      <w:r>
        <w:rPr>
          <w:rFonts w:ascii="Arial" w:cs="Arial" w:eastAsia="Arial" w:hAnsi="Arial"/>
          <w:sz w:val="16"/>
          <w:szCs w:val="16"/>
          <w:color w:val="231F20"/>
        </w:rPr>
        <w:t>Assay plates were harvested and stained for Fixable Live/Dead. Cells were fixed and run on cytometer to determine Target+Dead Cell populations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CNTY-101 clinical development program in R/R B-Cell lymphoma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B-cell lymphoma</w:t>
      </w:r>
    </w:p>
    <w:p>
      <w:pPr>
        <w:spacing w:after="0" w:line="21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231F20"/>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Current treatment and shortcomings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 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85" w:lineRule="exact"/>
        <w:rPr>
          <w:sz w:val="20"/>
          <w:szCs w:val="20"/>
          <w:color w:val="auto"/>
        </w:rPr>
      </w:pPr>
    </w:p>
    <w:p>
      <w:pPr>
        <w:ind w:left="60" w:right="139"/>
        <w:spacing w:after="0" w:line="279" w:lineRule="auto"/>
        <w:rPr>
          <w:sz w:val="20"/>
          <w:szCs w:val="20"/>
          <w:color w:val="auto"/>
        </w:rPr>
      </w:pPr>
      <w:r>
        <w:rPr>
          <w:rFonts w:ascii="Arial" w:cs="Arial" w:eastAsia="Arial" w:hAnsi="Arial"/>
          <w:sz w:val="18"/>
          <w:szCs w:val="18"/>
          <w:color w:val="231F20"/>
        </w:rPr>
        <w:t>We believe the successful development of CNTY-101 will enable us to establish clinical proof of concept for our CAR-iNK cell therapy and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w:t>
      </w:r>
    </w:p>
    <w:p>
      <w:pPr>
        <w:spacing w:after="0" w:line="3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We have initiated a first-in-human Phase 1 clinical trial of CNTY-101 in the United States, in relapsed and refractory CD19 positive large B-cell lymphoma, or RR NHL, patients including dose escalation and expansion portions, designed to evaluate the safety, tolerability, pharmacokinetics, persistence, efficacy, and to identify the recommended Phase 2 dose and dosing schedule of CNTY-101. We are assessing both CD19-naïve and CD19-CAR-T treated patients who have relapsed following at least 2 prior lines of therapy. We will evaluate two dosing schedules, beginning with single dosing in Schedule A, as shown below. We will also characterize multiple doses per cycle with repeat cycles without subsequent lymphodepletion, subject to the Independent Data Monitoring Committee and FDA review, and its potential impact on safety, persistence, and efficacy in Schedule B. The ongoing ELiPSE-1 trial is designed to evaluate preliminary safety and efficacy in patients. We intend to establish proof of concept as the study progresses through dose escalation, which will be analyzed when sufficient patient data is achieved. The CNTY-101 clinical trial will allow for benchmarking, where safety and efficacy outcomes can be compared to the available results for mono-specific CD19 autologous and allogeneic therapies that also utilize the FMC63 binder and CAR.</w:t>
      </w:r>
    </w:p>
    <w:p>
      <w:pPr>
        <w:spacing w:after="0" w:line="180" w:lineRule="exact"/>
        <w:rPr>
          <w:sz w:val="20"/>
          <w:szCs w:val="20"/>
          <w:color w:val="auto"/>
        </w:rPr>
      </w:pPr>
    </w:p>
    <w:p>
      <w:pPr>
        <w:jc w:val="both"/>
        <w:ind w:left="60" w:right="179"/>
        <w:spacing w:after="0"/>
        <w:rPr>
          <w:sz w:val="20"/>
          <w:szCs w:val="20"/>
          <w:color w:val="auto"/>
        </w:rPr>
      </w:pPr>
      <w:r>
        <w:rPr>
          <w:rFonts w:ascii="Arial" w:cs="Arial" w:eastAsia="Arial" w:hAnsi="Arial"/>
          <w:sz w:val="18"/>
          <w:szCs w:val="18"/>
          <w:color w:val="231F20"/>
        </w:rPr>
        <w:t>The primary objective of the Phase 1 clinical trial is to evaluate incidence and nature of dose-limiting toxicities within each dose level cohort and establish the recommended Phase 2 dose. The secondary objectives of the study include cell pharmacokinetics and persistence, incidence, nature, and severity of adverse events, overall response rate, complete and partial response rates, and duration of response, among other measures.</w:t>
      </w:r>
    </w:p>
    <w:p>
      <w:pPr>
        <w:ind w:left="60" w:right="339"/>
        <w:spacing w:after="0" w:line="250" w:lineRule="auto"/>
        <w:rPr>
          <w:sz w:val="20"/>
          <w:szCs w:val="20"/>
          <w:color w:val="auto"/>
        </w:rPr>
      </w:pPr>
      <w:r>
        <w:rPr>
          <w:rFonts w:ascii="Arial" w:cs="Arial" w:eastAsia="Arial" w:hAnsi="Arial"/>
          <w:sz w:val="18"/>
          <w:szCs w:val="18"/>
          <w:color w:val="231F20"/>
        </w:rPr>
        <w:t>Exploratory measures include evaluation of immunogenicity, correlation of antigen expression with response, and cytokine profile as a reporter of safety.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231F20"/>
        </w:rPr>
        <w:t>We believe CNTY-101 may provide significant treatment advantages including (i) as a result of our ability to repeat dose, the potential to enhance objective response rates, or ORRs, and the duration of response, or DoR;</w:t>
      </w:r>
    </w:p>
    <w:p>
      <w:pPr>
        <w:spacing w:after="0" w:line="1" w:lineRule="exact"/>
        <w:rPr>
          <w:sz w:val="20"/>
          <w:szCs w:val="20"/>
          <w:color w:val="auto"/>
        </w:rPr>
      </w:pPr>
    </w:p>
    <w:p>
      <w:pPr>
        <w:ind w:left="60" w:right="139" w:hanging="10"/>
        <w:spacing w:after="0" w:line="237" w:lineRule="auto"/>
        <w:tabs>
          <w:tab w:leader="none" w:pos="31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CNTY-101: ELiPSE-1 (NCT05336409) Phase 1 BOIN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146050</wp:posOffset>
            </wp:positionV>
            <wp:extent cx="5554980" cy="26060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549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99"/>
        <w:spacing w:after="0"/>
        <w:rPr>
          <w:sz w:val="20"/>
          <w:szCs w:val="20"/>
          <w:color w:val="auto"/>
        </w:rPr>
      </w:pPr>
      <w:r>
        <w:rPr>
          <w:rFonts w:ascii="Arial" w:cs="Arial" w:eastAsia="Arial" w:hAnsi="Arial"/>
          <w:sz w:val="18"/>
          <w:szCs w:val="18"/>
          <w:color w:val="231F20"/>
        </w:rPr>
        <w:t xml:space="preserve">Escalation is guided by </w:t>
      </w:r>
      <w:r>
        <w:rPr>
          <w:rFonts w:ascii="Arial" w:cs="Arial" w:eastAsia="Arial" w:hAnsi="Arial"/>
          <w:sz w:val="18"/>
          <w:szCs w:val="18"/>
          <w:color w:val="000000"/>
        </w:rPr>
        <w:t>the</w:t>
      </w:r>
      <w:r>
        <w:rPr>
          <w:rFonts w:ascii="Arial" w:cs="Arial" w:eastAsia="Arial" w:hAnsi="Arial"/>
          <w:sz w:val="18"/>
          <w:szCs w:val="18"/>
          <w:color w:val="231F20"/>
        </w:rPr>
        <w:t xml:space="preserve"> Bayesian Optimal Interval, or BOIN. The safety review committee reviews data and implements dosing decisions. After the single dose maximum tolerated dose, or MTD, has been reached or the maximum single dose has been evaluated, or earlier upon the recommendation of the Independent Data Review Committee and Sponsor decision, Schedule B will also be explored, where CNTY-101 cells are dosed once weekly for three weeks. As of January 2024, the ELiPSE-1 clinical study is currently enrolling DL2 Schedule B (300 million cells, three times weekly cycle), and DL3 Schedule A (1 billion cells, once monthly cycle) cohorts.</w:t>
      </w:r>
    </w:p>
    <w:p>
      <w:pPr>
        <w:spacing w:after="0" w:line="185" w:lineRule="exact"/>
        <w:rPr>
          <w:sz w:val="20"/>
          <w:szCs w:val="20"/>
          <w:color w:val="auto"/>
        </w:rPr>
      </w:pPr>
    </w:p>
    <w:p>
      <w:pPr>
        <w:ind w:left="380" w:right="99"/>
        <w:spacing w:after="0" w:line="247" w:lineRule="auto"/>
        <w:rPr>
          <w:sz w:val="20"/>
          <w:szCs w:val="20"/>
          <w:color w:val="auto"/>
        </w:rPr>
      </w:pPr>
      <w:r>
        <w:rPr>
          <w:rFonts w:ascii="Arial" w:cs="Arial" w:eastAsia="Arial" w:hAnsi="Arial"/>
          <w:sz w:val="18"/>
          <w:szCs w:val="18"/>
          <w:color w:val="231F20"/>
        </w:rPr>
        <w:t>As released by us on December 11, 2023, as of a data cutoff date of November 13, 2023, seven heavily pretreated patients were enrolled into the ELiPSE-1 trial and treated with CNTY-101, with the demographics shown below; four patients received the 100 million cell dose level, once monthly Schedule A, and three patients received the 300 million dose level, once monthly Schedule A.</w:t>
      </w:r>
    </w:p>
    <w:p>
      <w:pPr>
        <w:spacing w:after="0" w:line="174" w:lineRule="exact"/>
        <w:rPr>
          <w:sz w:val="20"/>
          <w:szCs w:val="20"/>
          <w:color w:val="auto"/>
        </w:rPr>
      </w:pPr>
    </w:p>
    <w:p>
      <w:pPr>
        <w:ind w:left="380" w:right="119"/>
        <w:spacing w:after="0" w:line="242" w:lineRule="auto"/>
        <w:rPr>
          <w:sz w:val="20"/>
          <w:szCs w:val="20"/>
          <w:color w:val="auto"/>
        </w:rPr>
      </w:pPr>
      <w:r>
        <w:rPr>
          <w:rFonts w:ascii="Arial" w:cs="Arial" w:eastAsia="Arial" w:hAnsi="Arial"/>
          <w:sz w:val="18"/>
          <w:szCs w:val="18"/>
          <w:color w:val="231F20"/>
        </w:rPr>
        <w:t>A favorable initial safety profile was observed, with no dose limiting toxicities, or DLTs, observed. Manageable safety was observed, with Grade 1 and Grade 2 cytokine release syndrome, or CRS, in two patients, and with Grade 3 neutropenia observed in two patients, which was transient. Four patients received outpatient treatment. Two patients achieved a complete response, or CR, including one patient with a 6-month durable CR prior to subsequent progression, illustrating encouraging initial response signals at the lowest dose levels in the study.</w:t>
      </w:r>
    </w:p>
    <w:p>
      <w:pPr>
        <w:spacing w:after="0" w:line="17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231F20"/>
        </w:rPr>
        <w:t>ELiPSE-1 patient demographics (as of November 13, 2023,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146050</wp:posOffset>
            </wp:positionV>
            <wp:extent cx="5546090" cy="2717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4609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231F20"/>
        </w:rPr>
        <w:t>Favorable initial safety profile observed to date in ELiPSE-1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694690</wp:posOffset>
            </wp:positionV>
            <wp:extent cx="5546090" cy="27343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460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231F20"/>
        </w:rPr>
        <w:t>ELiPSE-1: Early evidence of anti-lymphoma activity at lowest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146050</wp:posOffset>
            </wp:positionV>
            <wp:extent cx="5546090" cy="2657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4609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 w:right="59"/>
        <w:spacing w:after="0"/>
        <w:rPr>
          <w:sz w:val="20"/>
          <w:szCs w:val="20"/>
          <w:color w:val="auto"/>
        </w:rPr>
      </w:pPr>
      <w:r>
        <w:rPr>
          <w:rFonts w:ascii="Arial" w:cs="Arial" w:eastAsia="Arial" w:hAnsi="Arial"/>
          <w:sz w:val="18"/>
          <w:szCs w:val="18"/>
          <w:color w:val="231F20"/>
        </w:rPr>
        <w:t>We reported a case study of a dose level 1 patient who exhibited a 6-month durable complete response prior to subsequently progression. This patient had high risk relapsed refractory follicular lymphoma, or FL, and had received 4 prior lines of therapy. They were treated with 100 million CNTY-101 cells following LDC; after the initial cycle exhibited a complete response, and subsequently received one additional cycle of CNTY-101 following lymphodepletion, and five additional cycles of 100 million CNTY-101 cells monthly without lymphodepletion. All additional cycles included subcutaneous IL-2 for eight days. This case study was also included in an abstract and poster presented at the American Society of Hematology, or ASH, Annual Meeting in December, 2023.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complete response is shown below via PET imaging</w:t>
      </w:r>
    </w:p>
    <w:p>
      <w:pPr>
        <w:spacing w:after="0" w:line="212" w:lineRule="exact"/>
        <w:rPr>
          <w:sz w:val="20"/>
          <w:szCs w:val="20"/>
          <w:color w:val="auto"/>
        </w:rPr>
      </w:pPr>
    </w:p>
    <w:p>
      <w:pPr>
        <w:jc w:val="center"/>
        <w:ind w:left="2360"/>
        <w:spacing w:after="0" w:line="281" w:lineRule="auto"/>
        <w:rPr>
          <w:sz w:val="20"/>
          <w:szCs w:val="20"/>
          <w:color w:val="auto"/>
        </w:rPr>
      </w:pPr>
      <w:r>
        <w:rPr>
          <w:rFonts w:ascii="Arial" w:cs="Arial" w:eastAsia="Arial" w:hAnsi="Arial"/>
          <w:sz w:val="18"/>
          <w:szCs w:val="18"/>
          <w:b w:val="1"/>
          <w:bCs w:val="1"/>
          <w:color w:val="231F20"/>
        </w:rPr>
        <w:t>ASH case study: Dose level 1 patient with 6 month durable complete response prior to subsequently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98425</wp:posOffset>
            </wp:positionV>
            <wp:extent cx="5546090" cy="255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4609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ASH case study: Early evidence of anti-lymphoma activity with durable 6 month complete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146050</wp:posOffset>
            </wp:positionV>
            <wp:extent cx="5546090" cy="25031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4609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right="879"/>
        <w:spacing w:after="0" w:line="271" w:lineRule="auto"/>
        <w:rPr>
          <w:sz w:val="20"/>
          <w:szCs w:val="20"/>
          <w:color w:val="auto"/>
        </w:rPr>
      </w:pPr>
      <w:r>
        <w:rPr>
          <w:rFonts w:ascii="Arial" w:cs="Arial" w:eastAsia="Arial" w:hAnsi="Arial"/>
          <w:sz w:val="18"/>
          <w:szCs w:val="18"/>
          <w:color w:val="231F20"/>
        </w:rPr>
        <w:t>Cytokine levels were consistent with the clinically-observed favorable initial safety profile – factors associated with CRS and neurotoxicity were not significantly elevated.</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ASH case study safety profile and safety biomarker assessment: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99"/>
        <w:spacing w:after="0" w:line="247" w:lineRule="auto"/>
        <w:rPr>
          <w:sz w:val="20"/>
          <w:szCs w:val="20"/>
          <w:color w:val="auto"/>
        </w:rPr>
      </w:pPr>
      <w:r>
        <w:rPr>
          <w:rFonts w:ascii="Arial" w:cs="Arial" w:eastAsia="Arial" w:hAnsi="Arial"/>
          <w:sz w:val="18"/>
          <w:szCs w:val="18"/>
          <w:color w:val="231F20"/>
        </w:rPr>
        <w:t>In this single patient case study, no DLTs, no CRS, and no ICANS were observed. No Adverse Events (AEs) related to CNTY-101 were observed. Factors such as cytokines associated with CRS and neurotoxicity were not significantly elevated. Elevation in peripheral IL-2 was observed, coinciding with IL-2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122555</wp:posOffset>
            </wp:positionV>
            <wp:extent cx="5546090" cy="2451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4609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 w:right="79"/>
        <w:spacing w:after="0" w:line="242" w:lineRule="auto"/>
        <w:rPr>
          <w:sz w:val="20"/>
          <w:szCs w:val="20"/>
          <w:color w:val="auto"/>
        </w:rPr>
      </w:pPr>
      <w:r>
        <w:rPr>
          <w:rFonts w:ascii="Arial" w:cs="Arial" w:eastAsia="Arial" w:hAnsi="Arial"/>
          <w:sz w:val="18"/>
          <w:szCs w:val="18"/>
          <w:color w:val="231F20"/>
        </w:rPr>
        <w:t>The case study allowed for analysis of PK for dosing cycles with and without IL-2 and with and without lymphodepletion. CNTY-101 cells traffic out of circulation shortly after infusion, and, consistent levels of CNTY-101 at 1-hour post-infusion were observed with and without lymphodepletion. Moreover, persistence of CNTY-101 cells in tissues for at least three days was observed upon repeated dosing of CNTY-101 either with or without lymphodepletion as measured by cell-free DNA. No allo-rejection of CNTY-101 was observed: no functional humoral immune response or anti-drug antibodies were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800" w:right="260"/>
        <w:spacing w:after="0" w:line="281" w:lineRule="auto"/>
        <w:rPr>
          <w:sz w:val="20"/>
          <w:szCs w:val="20"/>
          <w:color w:val="auto"/>
        </w:rPr>
      </w:pPr>
      <w:r>
        <w:rPr>
          <w:rFonts w:ascii="Arial" w:cs="Arial" w:eastAsia="Arial" w:hAnsi="Arial"/>
          <w:sz w:val="18"/>
          <w:szCs w:val="18"/>
          <w:b w:val="1"/>
          <w:bCs w:val="1"/>
          <w:color w:val="231F20"/>
        </w:rPr>
        <w:t>ASH case study: CNTY-101 persists outside of circulation and humoral immunogenicity is not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98425</wp:posOffset>
            </wp:positionV>
            <wp:extent cx="3780155" cy="2837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8015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80" w:right="79"/>
        <w:spacing w:after="0" w:line="253" w:lineRule="auto"/>
        <w:rPr>
          <w:sz w:val="20"/>
          <w:szCs w:val="20"/>
          <w:color w:val="auto"/>
        </w:rPr>
      </w:pPr>
      <w:r>
        <w:rPr>
          <w:rFonts w:ascii="Arial" w:cs="Arial" w:eastAsia="Arial" w:hAnsi="Arial"/>
          <w:sz w:val="18"/>
          <w:szCs w:val="18"/>
          <w:color w:val="231F20"/>
        </w:rPr>
        <w:t>After the first dose of CNTY-101 (without IL-2), an intra-tumoral adaptive response was observed, evaluated by imaging of a day eight tumor biopsy, showing recruitment of endogenous CD8+ T cells and NK cells and elevated levels of IFN gamma and TNF alpha to the tumor microenvironment.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31F20"/>
        </w:rPr>
        <w:t>ASH case study: Intra-tumoral adaptive response following initial CNTY-101 dose without IL-2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146050</wp:posOffset>
            </wp:positionV>
            <wp:extent cx="4354830" cy="27774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5483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45" w:lineRule="auto"/>
        <w:rPr>
          <w:sz w:val="20"/>
          <w:szCs w:val="20"/>
          <w:color w:val="auto"/>
        </w:rPr>
      </w:pPr>
      <w:r>
        <w:rPr>
          <w:rFonts w:ascii="Arial" w:cs="Arial" w:eastAsia="Arial" w:hAnsi="Arial"/>
          <w:sz w:val="18"/>
          <w:szCs w:val="18"/>
          <w:color w:val="231F20"/>
        </w:rPr>
        <w:t>Overall, these results demonstrate for CNTY-101 at the lowest study doses of 100 million and 300 million cells (once monthly cycle Schedule A):</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auto"/>
        </w:rPr>
        <w:t>Heavily pretreated and refractory patient population was treated in first-in-human dose escalation trial</w:t>
      </w:r>
    </w:p>
    <w:p>
      <w:pPr>
        <w:spacing w:after="0" w:line="8"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auto"/>
        </w:rPr>
        <w:t>Favorable initial safety profile; potentially can be delivered in an outpatient setting</w:t>
      </w:r>
    </w:p>
    <w:p>
      <w:pPr>
        <w:spacing w:after="0" w:line="8" w:lineRule="exact"/>
        <w:rPr>
          <w:rFonts w:ascii="Times New Roman" w:cs="Times New Roman" w:eastAsia="Times New Roman" w:hAnsi="Times New Roman"/>
          <w:sz w:val="18"/>
          <w:szCs w:val="18"/>
          <w:color w:val="231F20"/>
        </w:rPr>
      </w:pPr>
    </w:p>
    <w:p>
      <w:pPr>
        <w:ind w:left="720" w:right="339" w:hanging="319"/>
        <w:spacing w:after="0" w:line="234"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auto"/>
        </w:rPr>
        <w:t>Encouraging early response signals at lowest dose levels: two patients achieving CR, including one patient with 6-month durable CR prior to subsequent progression;</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auto"/>
        </w:rPr>
        <w:t>No evidence of allo-rejection ; and</w:t>
      </w:r>
    </w:p>
    <w:p>
      <w:pPr>
        <w:spacing w:after="0" w:line="8" w:lineRule="exact"/>
        <w:rPr>
          <w:rFonts w:ascii="Times New Roman" w:cs="Times New Roman" w:eastAsia="Times New Roman" w:hAnsi="Times New Roman"/>
          <w:sz w:val="18"/>
          <w:szCs w:val="18"/>
          <w:color w:val="231F20"/>
        </w:rPr>
      </w:pPr>
    </w:p>
    <w:p>
      <w:pPr>
        <w:ind w:left="720" w:right="399" w:hanging="319"/>
        <w:spacing w:after="0" w:line="234"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auto"/>
        </w:rPr>
        <w:t>Initial data for CNTY-101 supports the potential for Allo-Evasion™ to enable a multi-dosing regimen without the need for continued lymphodepletion</w:t>
      </w:r>
    </w:p>
    <w:p>
      <w:pPr>
        <w:spacing w:after="0" w:line="1" w:lineRule="exact"/>
        <w:rPr>
          <w:sz w:val="20"/>
          <w:szCs w:val="20"/>
          <w:color w:val="auto"/>
        </w:rPr>
      </w:pPr>
    </w:p>
    <w:p>
      <w:pPr>
        <w:ind w:left="60" w:right="199"/>
        <w:spacing w:after="0" w:line="250" w:lineRule="auto"/>
        <w:rPr>
          <w:sz w:val="20"/>
          <w:szCs w:val="20"/>
          <w:color w:val="auto"/>
        </w:rPr>
      </w:pPr>
      <w:r>
        <w:rPr>
          <w:rFonts w:ascii="Arial" w:cs="Arial" w:eastAsia="Arial" w:hAnsi="Arial"/>
          <w:sz w:val="18"/>
          <w:szCs w:val="18"/>
          <w:color w:val="auto"/>
        </w:rPr>
        <w:t>We believe CNTY-101’s manageable initial safety profile, initial response data, and PK/PD supports advancing to higher doses to potentially deepen and prolong clinical response.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CNTY-101 clinical development program in SLE</w:t>
      </w:r>
    </w:p>
    <w:p>
      <w:pPr>
        <w:spacing w:after="0" w:line="19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SLE is a complex multi-system autoimmune disease that affects 3.4 million people worldwide. Interactions between T and B cells leading to autoantibody production are central to disease pathogenesis. Renal and central nervous system, or CNS, involvement as well as advanced cardiovascular aging are major causes of morbidity and mortality in SLE. Advances in treatment have failed to make a significant impact on the SLE patient outcomes and induction of remission remains rare. Furthermore, drug toxicity is significant and disease flares remain common. The primary objective of new therapies in SLE is to achieve long-term control in disease activity with well tolerated SLE medications using treat-to-target strategies to achieve this goal. Since the most recent approval of anifrolumab in 2021, multiple studies with a variety of other biologics in SLE have failed, and there remains an ongoing need for improved treatment options. B-cell-directed autologous CAR T cell therapies have provided new hope for durable remissions through an “immune reset”. However, some of the challenges encountered with auto-CAR-T in oncology related to product availability, toxicities, and potential long-term risks could hamper their widespread adoption in non-oncology indications.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231F20"/>
        </w:rPr>
        <w:t>We are pursuing an alternative approach with CNTY-101. As a homogenous NK cell candidate derived from a single iPSC clone, CNTY-101 has been designed with uniquely engineered features which we believe may provide multiple potential treatment advantages in the SLE setting. These potential advantages include availability of a consistent off-the-shelf frozen product, an improved tolerability profile, ability to be re-dosed without lymphodepletion while avoiding allo-rejection of the product, and a product design that may enable the elimination of B-cells to effect a decline in auto-antibodies without prolonged B cell aplasia.</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CALiPSO-1 Phase 1 Clinical Trial Design: CNTY-101 in moderate to severe SLE</w:t>
      </w:r>
    </w:p>
    <w:p>
      <w:pPr>
        <w:spacing w:after="0" w:line="210" w:lineRule="exact"/>
        <w:rPr>
          <w:sz w:val="20"/>
          <w:szCs w:val="20"/>
          <w:color w:val="auto"/>
        </w:rPr>
      </w:pPr>
    </w:p>
    <w:p>
      <w:pPr>
        <w:jc w:val="center"/>
        <w:ind w:left="60" w:right="99"/>
        <w:spacing w:after="0" w:line="256" w:lineRule="auto"/>
        <w:rPr>
          <w:sz w:val="20"/>
          <w:szCs w:val="20"/>
          <w:color w:val="auto"/>
        </w:rPr>
      </w:pPr>
      <w:r>
        <w:rPr>
          <w:rFonts w:ascii="Arial" w:cs="Arial" w:eastAsia="Arial" w:hAnsi="Arial"/>
          <w:sz w:val="17"/>
          <w:szCs w:val="17"/>
          <w:color w:val="231F20"/>
        </w:rPr>
        <w:t>The CNTY-101 SLE Phase 1 clinical trial (CALiPSO-1) is a multi-center Phase 1 clinical trial designed to assess the safety, tolerability, pharmacokinetics, and clinical response of CNTY-101 in patients with moderate to severe SLE who have failed at least two standard immunosuppressive therapies. Key endpoints include safety, SLE manifestations per SLE Disease Activity Index, SLEDAI, Lupus Low Disease Activity State, or LLDAS, and Definition of remission in SLE, or DORIS scores, and translational endpoints including B-cell depletion, and auto-antibody decline. The clinical trial is planned to initiate in the first half of 2024. The trial will evaluate one to two cycles of 3 weekly doses of CNTY-101, with lymphodepletion only included prior to the first CNTY-101 infusion. Two dose levels of CNTY-101 are planned for evaluation, 300 million cells and 1 billion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5554980" cy="1568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498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231F20"/>
        </w:rPr>
        <w:t>This clinical trial design builds on our knowledge from ELiPSE-1, which has shown to date that in lymphoma patients, CNTY-101 was generally well-tolerated at the 300 million cell dose and can be dosed multiple times without lympho-depleting between each cycle, which also minimizes patient exposure to the toxicity associated with lymphodepletion. We plan to initiate the trial in the first half of 2024, with initial data expected by the end of 2024.</w:t>
      </w:r>
    </w:p>
    <w:p>
      <w:pPr>
        <w:spacing w:after="0" w:line="4"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i w:val="1"/>
          <w:iCs w:val="1"/>
          <w:color w:val="231F20"/>
        </w:rPr>
        <w:t>CNTY-102: CAR-iT candidate targeting CD19 + CD22 for relapsed, refractory B-cell lymphoma and other B-cell malignancies</w:t>
      </w:r>
    </w:p>
    <w:p>
      <w:pPr>
        <w:spacing w:after="0" w:line="172" w:lineRule="exact"/>
        <w:rPr>
          <w:sz w:val="20"/>
          <w:szCs w:val="20"/>
          <w:color w:val="auto"/>
        </w:rPr>
      </w:pPr>
    </w:p>
    <w:p>
      <w:pPr>
        <w:ind w:left="60" w:right="99"/>
        <w:spacing w:after="0" w:line="227" w:lineRule="auto"/>
        <w:rPr>
          <w:sz w:val="20"/>
          <w:szCs w:val="20"/>
          <w:color w:val="auto"/>
        </w:rPr>
      </w:pPr>
      <w:r>
        <w:rPr>
          <w:rFonts w:ascii="Arial" w:cs="Arial" w:eastAsia="Arial" w:hAnsi="Arial"/>
          <w:sz w:val="18"/>
          <w:szCs w:val="18"/>
          <w:color w:val="231F20"/>
        </w:rPr>
        <w:t>Our next-generation product candidate directed to treat B-cell malignancies is CNTY-102, an iPSC-derived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enabled, CAR-iT cell therapy designed to simultaneously target two tumor antigens, CD19 and CD22.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 response by eliminating the effect of CD19 antigen loss that has been observed as a factor limiting durability of CAR-T cell therapies, as well as taking advantage of targeting CD22, an independently regulated, ubiquitous and validated B-cell target.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137795</wp:posOffset>
            </wp:positionV>
            <wp:extent cx="4920615" cy="3857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2061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231F20"/>
        </w:rPr>
        <w:t>iT cells are expected to have high proliferative capacity, persistence and trafficking, leading to sustained anti-tumor activity. We will develop this candidate on our γδi iT cell therapy platform.</w:t>
      </w:r>
    </w:p>
    <w:p>
      <w:pPr>
        <w:spacing w:after="0" w:line="154"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231F20"/>
        </w:rPr>
        <w:t>We intend to evaluate CNTY-102 in a Phase 1 clinical trial in relapsed, refractory aggressive B-cell NHL, chronic lymphocytic leukemia, or CLL, and/or B-cell acute lymphoblastic leukemia, or B-ALL. We will assess safety, tolerability, pharmacokinetics, persistence, and efficacy outcomes,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181" w:lineRule="exact"/>
        <w:rPr>
          <w:sz w:val="20"/>
          <w:szCs w:val="20"/>
          <w:color w:val="auto"/>
        </w:rPr>
      </w:pPr>
    </w:p>
    <w:p>
      <w:pPr>
        <w:ind w:left="60" w:right="639"/>
        <w:spacing w:after="0" w:line="269" w:lineRule="auto"/>
        <w:rPr>
          <w:sz w:val="20"/>
          <w:szCs w:val="20"/>
          <w:color w:val="auto"/>
        </w:rPr>
      </w:pPr>
      <w:r>
        <w:rPr>
          <w:rFonts w:ascii="Arial" w:cs="Arial" w:eastAsia="Arial" w:hAnsi="Arial"/>
          <w:sz w:val="18"/>
          <w:szCs w:val="18"/>
          <w:i w:val="1"/>
          <w:iCs w:val="1"/>
          <w:color w:val="231F20"/>
        </w:rPr>
        <w:t>CNTY-107: Our CAR-iT candidate targeting Nectin-4, for solid tumors expressing high levels of the target antigen</w:t>
      </w:r>
    </w:p>
    <w:p>
      <w:pPr>
        <w:spacing w:after="0" w:line="148" w:lineRule="exact"/>
        <w:rPr>
          <w:sz w:val="20"/>
          <w:szCs w:val="20"/>
          <w:color w:val="auto"/>
        </w:rPr>
      </w:pPr>
    </w:p>
    <w:p>
      <w:pPr>
        <w:ind w:left="60" w:right="319"/>
        <w:spacing w:after="0" w:line="226" w:lineRule="auto"/>
        <w:rPr>
          <w:sz w:val="20"/>
          <w:szCs w:val="20"/>
          <w:color w:val="auto"/>
        </w:rPr>
      </w:pPr>
      <w:r>
        <w:rPr>
          <w:rFonts w:ascii="Arial" w:cs="Arial" w:eastAsia="Arial" w:hAnsi="Arial"/>
          <w:sz w:val="18"/>
          <w:szCs w:val="18"/>
          <w:color w:val="231F20"/>
        </w:rPr>
        <w:t>CNTY-107 is an iPSC-derived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enabled, CAR-iT cell therapy designed to address Nectin-4 positive solid tumors. CNTY-107 will also incorporate additional functionalities to enhance tumor cell killing and improve cell fitness. The Nectin cell adhesion protein 4, or Nectin-4, is overexpressed in multiple malignancies and has emerged as a possible biomarker and has been validated as target through antibody drug conjugate, or ADC, approaches such as enfortumab vedotin. Nectin-4 is overexpressed in tumor types including urothelial, colorectal, breast, lung, ovarian, gastric, esophageal and pancreatic cancer.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694690</wp:posOffset>
            </wp:positionV>
            <wp:extent cx="4817745" cy="3857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177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499"/>
        <w:spacing w:after="0" w:line="269" w:lineRule="auto"/>
        <w:rPr>
          <w:sz w:val="20"/>
          <w:szCs w:val="20"/>
          <w:color w:val="auto"/>
        </w:rPr>
      </w:pPr>
      <w:r>
        <w:rPr>
          <w:rFonts w:ascii="Arial" w:cs="Arial" w:eastAsia="Arial" w:hAnsi="Arial"/>
          <w:sz w:val="18"/>
          <w:szCs w:val="18"/>
          <w:i w:val="1"/>
          <w:iCs w:val="1"/>
          <w:color w:val="231F20"/>
        </w:rPr>
        <w:t>CNTY-104: Our CAR-iNK or CAR-iT multi-specific collaboration program for the treatment of acute myeloid leukemia</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 remission, likely offers the only possible current chance for cure. Despite numerous clinical studies, outcomes are consistently disappointing with 5-year overall survival rates of ~ 10%.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w:t>
      </w:r>
    </w:p>
    <w:p>
      <w:pPr>
        <w:spacing w:after="0" w:line="210"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231F20"/>
        </w:rPr>
        <w:t>We are developing a multi-specific CAR-iNK or CAR-iT cell collaboration program to treat relapsed, refractory, and secondary AML in collaboration with Bristol-Myers Squibb. CNTY-104 is a CAR-iNK collaboration program designed to target at least two tumor-associated antigens of relevance in AML. We are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color w:val="231F20"/>
        </w:rPr>
        <w:t>currently investigating multiple tumor targets to select the final candidates for the CNTY-104 collaboration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100965</wp:posOffset>
            </wp:positionV>
            <wp:extent cx="3120390" cy="27432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203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231F20"/>
        </w:rPr>
        <w:t xml:space="preserve">Use of CAR-T cell therapies has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candidate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pharmacokinetics and persistence, but we will evaluate both cell platforms to engineer CNTY-104.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CNTY-106: Our CAR-iNK or CAR-iT multi-specific collaboration program for the treatment of multiple myeloma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1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231F20"/>
        </w:rPr>
        <w:t>Multiple myeloma is the second most common hematological malignancy, accounting for approximately 10 percent of all blood cancers. The five-year survival rate has improved with the introduction of targeted therapies, combination regimens and more recently antibody drug conjugates and cell therapies but remains incurable. An estimated 35,000 new cases are diagnosed in the U.S. annually, with approximately 12,500 deaths. The 5-year survival rate for patients under 45 years of age at diagnosis is approximately 77 percent.</w:t>
      </w:r>
    </w:p>
    <w:p>
      <w:pPr>
        <w:spacing w:after="0" w:line="176"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color w:val="231F20"/>
        </w:rPr>
        <w:t>We are developing a multi-specific CAR-iNK or CAR-iT cell product candidate to treat relapsed, refractory multiple myeloma collaboration with Bristol-Myers Squibb. CNTY-106 is a CAR-iNK or CAR-iT collaboration program to target at least two tumor-associated antigens of relevance in multiple myeloma.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Discovery platform</w:t>
      </w:r>
    </w:p>
    <w:p>
      <w:pPr>
        <w:spacing w:after="0" w:line="210" w:lineRule="exact"/>
        <w:rPr>
          <w:sz w:val="20"/>
          <w:szCs w:val="20"/>
          <w:color w:val="auto"/>
        </w:rPr>
      </w:pPr>
    </w:p>
    <w:p>
      <w:pPr>
        <w:ind w:left="60" w:right="319"/>
        <w:spacing w:after="0" w:line="301" w:lineRule="auto"/>
        <w:rPr>
          <w:sz w:val="20"/>
          <w:szCs w:val="20"/>
          <w:color w:val="auto"/>
        </w:rPr>
      </w:pPr>
      <w:r>
        <w:rPr>
          <w:rFonts w:ascii="Arial" w:cs="Arial" w:eastAsia="Arial" w:hAnsi="Arial"/>
          <w:sz w:val="17"/>
          <w:szCs w:val="17"/>
          <w:color w:val="231F20"/>
        </w:rPr>
        <w:t>In addition to our named programs, we are actively engaged in a number of earlier stage discovery programs where we believe our IPSC-derived allogeneic cell therapy platform may provide differentiated therapeutic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231F20"/>
        </w:rPr>
        <w:t>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We have initiated multiple VHH antibody campaigns to identify binders to build the CAR constructs for the prioritized tumor indications. These campaigns are at different stages of development and include targets for targets for renal cell carcinoma and other solid tumors and hematological malignancies. Our goal is to do side by side comparisons of the different CARs to select the final CAR constructs for the product candidates. We intend to evaluate the use of engineered macrophages and dendritic cells in the future as potential anti- 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Manufacturing</w:t>
      </w:r>
    </w:p>
    <w:p>
      <w:pPr>
        <w:spacing w:after="0" w:line="21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18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231F20"/>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146050</wp:posOffset>
            </wp:positionV>
            <wp:extent cx="4937760" cy="130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77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231F20"/>
        </w:rPr>
        <w:t>We are sourcing clinical supply of CNTY-101 from FCDI. FCDI currently maintains a cGMP compliant manufacturing facility in Madison, Wisconsin and our audit of the facility confirmed its Phase 1 readiness. We also intend to source clinical trial supply for some of our other iNK product candidates, and we will have the option to source NK cell therapies to be sold commercially, if approved, from FCDI.</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At the same time, we have constructed of our own 53,000 square foot cell therapy manufacturing facility in Branchburg, New Jersey. which is now operational.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1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231F20"/>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the factors that affect product quality. We also intend to develop expertise in scale-up technologies to enable optimal manufacturing scale for our product candidates, which will reduce cost of goods and improve patient access.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Licensing, partnerships and collaborations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Fujifilm Cellular Dynamics, Inc.</w:t>
      </w:r>
    </w:p>
    <w:p>
      <w:pPr>
        <w:spacing w:after="0" w:line="21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231F20"/>
        </w:rPr>
        <w:t>We are party to an exclusive license with FCDI, dated September 18, 2018, or, as amended, the Differentiation License, pursuant to which we have licensed from FCDI certain patents and know-how related to differentiation of iPSC cells into immune-effector cells in the field of cancer immunotherapeutics. We are also party to a non-exclusive license with FCDI, also dated September 18, 2018, or, as amended, the Reprogramming License, pursuant to which we have licensed from FCDI certain patents and know-how related to the reprogramming of human somatic cells to iPSCs in the field of cancer immunotherapeutics. On October 21, 2019, we entered into a Master Collaboration Agreement with FCDI pursuant to which we agreed to fund research and development work at FCDI pursuant to a research plan, or, as amended, the FCDI Collaboration Agreement. On March 23, 2021, we entered into a Manufacturing and Supply Agreement with FCDI, or the Manufacturing Agreement, pursuant to which FCDI will provide certain agreed upon technology transfer, process development, analytical testing and cGMP manufacturing services to us. On January 7, 2022, we entered into a letter agreement with FCDI, which amends each of the agreements in relation to our collaboration with Bristol-Myers Squibb.</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Differentiation License Agreement</w:t>
      </w:r>
    </w:p>
    <w:p>
      <w:pPr>
        <w:spacing w:after="0" w:line="210" w:lineRule="exact"/>
        <w:rPr>
          <w:sz w:val="20"/>
          <w:szCs w:val="20"/>
          <w:color w:val="auto"/>
        </w:rPr>
      </w:pPr>
    </w:p>
    <w:p>
      <w:pPr>
        <w:ind w:left="60" w:right="439"/>
        <w:spacing w:after="0" w:line="301" w:lineRule="auto"/>
        <w:rPr>
          <w:sz w:val="20"/>
          <w:szCs w:val="20"/>
          <w:color w:val="auto"/>
        </w:rPr>
      </w:pPr>
      <w:r>
        <w:rPr>
          <w:rFonts w:ascii="Arial" w:cs="Arial" w:eastAsia="Arial" w:hAnsi="Arial"/>
          <w:sz w:val="17"/>
          <w:szCs w:val="17"/>
          <w:color w:val="231F20"/>
        </w:rPr>
        <w:t>Under the Differentiation License, FCDI granted us an exclusive, fully paid-up, sublicensable, worldwide, excluding Japan, license under certain patent rights and know-how related to human iPSC to exploit cancer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231F20"/>
        </w:rPr>
        <w:t>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FCDI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8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231F20"/>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We also issued shares of common stock to FCDI as consideration under the Differentiation License.</w:t>
      </w:r>
    </w:p>
    <w:p>
      <w:pPr>
        <w:spacing w:after="0" w:line="17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The Differentiation License expires upon the expiration of the last-to-expire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w:t>
      </w:r>
    </w:p>
    <w:p>
      <w:pPr>
        <w:spacing w:after="0" w:line="18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231F20"/>
        </w:rPr>
        <w:t>The Differentiation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Reprogramming License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Under the Reprogramming License, FCDI granted us a non-exclusive, worldwide, excluding Japan, license under certain patent rights and know-how related to cell reprogramming of human cells to iPSCs to exploit FCDI Licensed Products within the field of cancer immunotherapeutic.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231F20"/>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231F20"/>
        </w:rPr>
        <w:t>The Reprogramming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FCDI Collaboration Agreement</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Under the FCDI Collaboration Agreement, we established a collaborative relationship under which FCDI agreed to render certain services to us for the development and manufacture iPSC-derived cells in accordance with a research plan and approved budget funded by us. For the first three years of the term of the FCDI Collaboration Agreement, we agreed to pay FCDI a minimum of $2.5 million per year. Under the FCDI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FCDI Collaboration Agreement.</w:t>
      </w:r>
    </w:p>
    <w:p>
      <w:pPr>
        <w:spacing w:after="0" w:line="183"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231F20"/>
        </w:rPr>
        <w:t>The FCDI Collaboration Agreement expires upon the termination of the Reprogramming License. Either party may terminate the FCDI Collaboration Agreement upon the other party’s material breach, subject to a 30-day notice and cure period. We may terminate the FCDI Collaboration Agreement for convenience by providing FCDI 60-days’ written notice.</w:t>
      </w:r>
    </w:p>
    <w:p>
      <w:pPr>
        <w:spacing w:after="0" w:line="174"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231F20"/>
        </w:rPr>
        <w:t>The FCDI Collaboration Agreement also contains customary representations and warranties, confidentiality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Letter Agreement</w:t>
      </w:r>
    </w:p>
    <w:p>
      <w:pPr>
        <w:spacing w:after="0" w:line="210"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231F20"/>
        </w:rPr>
        <w:t>Under the letter agreement, which amends certain terms of each of the FCDI Agreements, including such amendments that (i) amend the definition of Territory under each of the FCDI Agreements, for purposes of the sublicenses under the FCDI Agreements pursuant to our Research Collaboration and License Agreement with Bristol-Myers Squibb dated January 7, 2022, or the Collaboration Agreement, includes Japan, (ii) amends the licenses granted to us and our affiliates under the FCDI Agreements such that the rights are sublicensable to Bristol-Myers Squibb, including with respect to Japan and (iii) the intellectual property developed under the Bristol-Myers Squibb collaboration is not subject to grant-back and option provisions under the Reprogramming License (iv) waives any right of FCDI to manufacture products developed under the Collaboration Agreement.</w:t>
      </w:r>
    </w:p>
    <w:p>
      <w:pPr>
        <w:spacing w:after="0" w:line="16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Pursuant to the Letter Agreement, and in consideration for amending the FCDI Agreements, we paid to FCDI (i) an upfront payment of $ 10 million, and will pay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Manufacturing Agreement</w:t>
      </w:r>
    </w:p>
    <w:p>
      <w:pPr>
        <w:spacing w:after="0" w:line="21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231F20"/>
        </w:rPr>
        <w:t>Under the Manufacturing Agreement, FCDI will perform certain agreed upon technology transfer, process development, analytical testing, and cGMP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18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231F20"/>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Worldwide License Agreement</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 xml:space="preserve">On September 22, 2023, we and FCDI entered into a worldwide license agreement, or the Autoimmune License, whereby FCDI will grant non-exclusive licenses to us for certain patent rights and know-how related to cell differentiation and reprogramming for the 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 In connection with the entry into the Autoimmune License and the amendments to the Reprogramming License and Differentiation License, we recorded an upfront payment in the amount of $ 4.0 million. </w:t>
      </w:r>
      <w:r>
        <w:rPr>
          <w:rFonts w:ascii="Arial" w:cs="Arial" w:eastAsia="Arial" w:hAnsi="Arial"/>
          <w:sz w:val="18"/>
          <w:szCs w:val="18"/>
          <w:color w:val="000000"/>
        </w:rPr>
        <w:t>In addition, we paid FCDI a $1.0 million</w:t>
      </w:r>
      <w:r>
        <w:rPr>
          <w:rFonts w:ascii="Arial" w:cs="Arial" w:eastAsia="Arial" w:hAnsi="Arial"/>
          <w:sz w:val="18"/>
          <w:szCs w:val="18"/>
          <w:color w:val="231F20"/>
        </w:rPr>
        <w:t xml:space="preserve"> </w:t>
      </w:r>
      <w:r>
        <w:rPr>
          <w:rFonts w:ascii="Arial" w:cs="Arial" w:eastAsia="Arial" w:hAnsi="Arial"/>
          <w:sz w:val="18"/>
          <w:szCs w:val="18"/>
          <w:color w:val="000000"/>
        </w:rPr>
        <w:t xml:space="preserve">milestone fee pursuant to the Autoimmune License for filing of the IND for SLE for CNTY-101, both of </w:t>
      </w:r>
      <w:r>
        <w:rPr>
          <w:rFonts w:ascii="Arial" w:cs="Arial" w:eastAsia="Arial" w:hAnsi="Arial"/>
          <w:sz w:val="18"/>
          <w:szCs w:val="18"/>
          <w:color w:val="231F20"/>
        </w:rPr>
        <w:t>which are</w:t>
      </w:r>
      <w:r>
        <w:rPr>
          <w:rFonts w:ascii="Arial" w:cs="Arial" w:eastAsia="Arial" w:hAnsi="Arial"/>
          <w:sz w:val="18"/>
          <w:szCs w:val="18"/>
          <w:color w:val="000000"/>
        </w:rPr>
        <w:t xml:space="preserve"> </w:t>
      </w:r>
      <w:r>
        <w:rPr>
          <w:rFonts w:ascii="Arial" w:cs="Arial" w:eastAsia="Arial" w:hAnsi="Arial"/>
          <w:sz w:val="18"/>
          <w:szCs w:val="18"/>
          <w:color w:val="231F20"/>
        </w:rPr>
        <w:t>included as in-process research and development in the consolidated statements of operations and comprehensive loss for the year ended December 31, 2023</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Bayer HealthCare LLC Option Agreement</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is subject to the terms of the Option Agreement.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180" w:lineRule="exact"/>
        <w:rPr>
          <w:sz w:val="20"/>
          <w:szCs w:val="20"/>
          <w:color w:val="auto"/>
        </w:rPr>
      </w:pPr>
    </w:p>
    <w:p>
      <w:pPr>
        <w:ind w:left="60" w:right="339"/>
        <w:spacing w:after="0" w:line="301" w:lineRule="auto"/>
        <w:rPr>
          <w:sz w:val="20"/>
          <w:szCs w:val="20"/>
          <w:color w:val="auto"/>
        </w:rPr>
      </w:pPr>
      <w:r>
        <w:rPr>
          <w:rFonts w:ascii="Arial" w:cs="Arial" w:eastAsia="Arial" w:hAnsi="Arial"/>
          <w:sz w:val="17"/>
          <w:szCs w:val="17"/>
          <w:color w:val="231F20"/>
        </w:rPr>
        <w:t>In the event that Bayer exercises its ROFR right, we will provide Bayer with our current, minimum offer terms with respect to the relevant Research Product Rights, or the Minimum Offer Terms, as determined by our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183"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231F20"/>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Bristol-Myers Squibb</w:t>
      </w:r>
    </w:p>
    <w:p>
      <w:pPr>
        <w:spacing w:after="0" w:line="21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31F20"/>
        </w:rPr>
        <w:t>On January 7, 2022, we entered into the Collaboration Agreement with Bristol-Myers Squibb to collaborate on the research, development and commercialization of iNK and iT cell programs for hematologic malignancies and solid tumors, each a Collaboration Program, and each product candidate developed within such Collaboration Program, a Development Candidate.</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Pursuant to the Collaboration Agreement, we and Bristol-Myers Squibb will initially collaborate on two Collaboration Programs and Bristol-Myers Squibb has the option to add up to two additional Collaboration Programs, for an additional fee. The initial two Collaboration Programs are focused on AML and multiple myeloma, respectively. The two additional Collaboration Programs that Bristol-Myers Squibb may elect to add to the collaboration will focus on targets chosen from a set of reserved targets or other targets selected by Bristol-Myers Squibb, which can be nominated subject to certain conditions agreed with us and outlined in the Collaboration Agreement.</w:t>
      </w:r>
    </w:p>
    <w:p>
      <w:pPr>
        <w:spacing w:after="0" w:line="18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Under the Collaboration Agreement, we are responsible for generating Development Candidates for each Collaboration Program with a goal of producing Development Candidates that meet pre-specified criteria. Bristol-Myers Squibb has the option, exercisable for a specified period of time after the Development Candidate for each Collaboration Program is deemed to meet the applicable criteria, to elect to exclusively license the Development Candidates created in each Collaboration Program for pre-clinical development, clinical development and commercialization on a worldwide basis each a License Option. Following Bristol-Myers Squibb’s exercise of the License Option with respect to a Collaboration Program, we will be responsible for performing IND-enabling studies, supporting Bristol-Myers Squibb’s preparation and submission of an IND and manufacturing of clinical supplies until completion of a proof-of-concept clinical trial for the relevant Development Candidates, in each case at pre-agreed rates. Bristol-Myers Squibb will be responsible for all regulatory, clinical, manufacturing (after the proof-of-concept clinical trial) and commercialization activities for such Development Candidates worldwide.</w:t>
      </w:r>
    </w:p>
    <w:p>
      <w:pPr>
        <w:spacing w:after="0" w:line="18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We have the option to co-promote with Bristol-Myers Squibb Development Candidates generated from the initial AML Collaboration Program and, if Bristol-Myers Squibb elects to expand to a fourth Collaboration Program, Development Candidates generated from the fourth Collaboration Program.</w:t>
      </w:r>
    </w:p>
    <w:p>
      <w:pPr>
        <w:spacing w:after="0" w:line="169"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Under the terms of the Collaboration Agreement, Bristol-Myers Squibb made a non-refundable, upfront cash payment of $100 million and will pay an exercise fee upon the exercise of the License Option with respect to a Collaboration Program, each such Collaboration Program, a Licensed Program and product candidates developed under a Licensed Program, Licensed Products. With respect to each Licensed Program, Bristol-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231F20"/>
        </w:rPr>
        <w:t>Myers Squibb will pay up to $235 million in milestone payments upon the first achievement of certain development and regulatory milestones within such Licensed Program. In addition, Bristol-Myers Squibb will pay up to $500 million per Licensed Product in net sales-based milestone payments.</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Bristol-Myers Squibb will also pay us tiered royalties per Licensed Product as a percentage of net sales in the high-single digits to low-teens, subject to reduction for biosimilar competition, compulsory licensing and certain third party licenses costs. If we exercise our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 -expire licensed patent of ours or a jointly owned patent that covers such the Licensed Product in such country. After expiration of the applicable royalty term for a Licensed Product in a country, all licenses granted by us to Bristol-Myers Squibb for such Licensed Product in such country will be fully paid-up, royalty-free, perpetual and irrevocable.</w:t>
      </w:r>
    </w:p>
    <w:p>
      <w:pPr>
        <w:spacing w:after="0" w:line="186"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231F20"/>
        </w:rPr>
        <w:t>In connection with the Collaboration Agreement Bristol-Myers Squibb purchased 2,160,760 shares of our common stock at a price per share of $23.14, for an aggregate purchase price of $50 million.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iCELL Inc.</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8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31F20"/>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University of Toronto and McMaster University</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On June 9, 2020, we entered into an asset purchase agreement by and among Empirica, our wholly-owned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subsidiary Century Therapeutics Canada ULC, or Century Canada and us pursuant to which we purchased</w:t>
      </w:r>
    </w:p>
    <w:p>
      <w:pPr>
        <w:ind w:left="60"/>
        <w:spacing w:after="0"/>
        <w:rPr>
          <w:sz w:val="20"/>
          <w:szCs w:val="20"/>
          <w:color w:val="auto"/>
        </w:rPr>
      </w:pPr>
      <w:r>
        <w:rPr>
          <w:rFonts w:ascii="Arial" w:cs="Arial" w:eastAsia="Arial" w:hAnsi="Arial"/>
          <w:sz w:val="18"/>
          <w:szCs w:val="18"/>
          <w:color w:val="231F20"/>
        </w:rPr>
        <w:t>certain assets of Empirica, including a license agreement, the Empirica License, dated January 22, 2019,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and among the Governing Council of the University of Toronto, or the Council, the McMaster University, or, together 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royalty-free, non-exclusive, perpetual, irrevocable license to use such technology for non-commercial research, educational and administrative purposes.</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 On November 6, 2023, we terminated the Empirica License as a result of its discontinuation of its CNTY-103 program.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Inscripta</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w:t>
      </w:r>
    </w:p>
    <w:p>
      <w:pPr>
        <w:spacing w:after="0" w:line="21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31F20"/>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174"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231F20"/>
        </w:rPr>
        <w:t>We have sought patent protection in the United States and other countries throughout the world related to our CNTY-101 product candidate, as well as other iPSC-derived engineered CAR cells comprising certain transgene insertions and deletions, including our proprietary Allo-Evasion™ technology. We have an issued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US patent No. 11,661,459 directed to the safety switch construct incorporated in our CNTY-101 product. We have also filed patent applications related to our other product candidates CNTY-102 and CNTY-107. We have also filed patent applications relating to our T-cell platform related to compositions and methods for generating alpha-beta and gamma delta T-cells from iPSCs. Additionally, we have filed a patent application on gene transfer vectors and methods of engineering iPSCs. We have also filed patent applications related to genetically engineered cells expressing CD16 variants and NKG2D and uses thereof as well as other technologies. This portfolio covers compositions of programmed cellular immunotherapies, our proprietary Allo-Evasion™ technology and our platform for industrial scale iPSC engineering and differentiation. The portfolio also includes technology for a universal CAR cell platform and a novel safety switch which includes an issued US patent No.11,883,432 .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18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8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89"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iPSC technology</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and for the treatment of inflammatory and autoimmune diseases worldwide.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be issued from these pending patent applications will expire on dates ranging from 2029 to 2034, without giving effect to any patent term adjustment or extension.</w:t>
      </w:r>
    </w:p>
    <w:p>
      <w:pPr>
        <w:spacing w:after="0" w:line="183"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231F20"/>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genetic engineering</w:t>
      </w:r>
    </w:p>
    <w:p>
      <w:pPr>
        <w:spacing w:after="0" w:line="210" w:lineRule="exact"/>
        <w:rPr>
          <w:sz w:val="20"/>
          <w:szCs w:val="20"/>
          <w:color w:val="auto"/>
        </w:rPr>
      </w:pPr>
    </w:p>
    <w:p>
      <w:pPr>
        <w:jc w:val="both"/>
        <w:ind w:left="60" w:right="519"/>
        <w:spacing w:after="0" w:line="266" w:lineRule="auto"/>
        <w:rPr>
          <w:sz w:val="20"/>
          <w:szCs w:val="20"/>
          <w:color w:val="auto"/>
        </w:rPr>
      </w:pPr>
      <w:r>
        <w:rPr>
          <w:rFonts w:ascii="Arial" w:cs="Arial" w:eastAsia="Arial" w:hAnsi="Arial"/>
          <w:sz w:val="17"/>
          <w:szCs w:val="17"/>
          <w:color w:val="231F20"/>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applications claiming priority therefrom. Our license covers the making and using of CRISPR-MAD7 for editing iPSCs, making master engineered iPSC lines and using master engineered iPSC lines to manufacture human therapeutic products. These issued patents and any patents that may be issued from these pending patent applications will expire in 2037, without giving effect to any patent term adjustment or extension.</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the differentiation of hematopoietic cells</w:t>
      </w:r>
    </w:p>
    <w:p>
      <w:pPr>
        <w:spacing w:after="0" w:line="21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and non-exclusive for the products for the treatment of inflammatory and autoimmune diseases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engineered iPSCs and derivative cells</w:t>
      </w:r>
    </w:p>
    <w:p>
      <w:pPr>
        <w:spacing w:after="0" w:line="21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Currently, we own two issued US patents and fifteen pending US utility patent applications and five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CNTY-102 and CNTY-107 products, as well as other iPSC-derived engineered CAR cells comprising certain transgene insertions and deletions, including our proprietary Allo-Evasion™ technology. We have an issued US patent No. 11,661,459 directed to the safety switch construct incorporated in our CNTY-101 product and an issued US patent with claims directed to a universal CAR cell platform. We have also filed patent applications relating to our T-cell platform related to compositions and methods for generating alpha-beta and gamma delta T cells from iPSCs. We have also filed patent applications related to a novel safety switch. Any U.S. patents that may issue from such pending provisional patent applications would expire in from 2040-2043, without giving effect to any patent term adjustment or extension.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engineered T cells</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231F20"/>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Competition</w:t>
      </w:r>
    </w:p>
    <w:p>
      <w:pPr>
        <w:spacing w:after="0" w:line="214"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231F20"/>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 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89"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231F20"/>
        </w:rPr>
        <w:t>Large pharmaceutical companies that have commercialized or are developing immunotherapies to treat cancer include AstraZeneca, Bristol-Myers Squibb, Gilead Sciences, Merck, Novartis, Pfizer, and Roche/Genentech.</w:t>
      </w:r>
    </w:p>
    <w:p>
      <w:pPr>
        <w:spacing w:after="0" w:line="131"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231F20"/>
        </w:rPr>
        <w:t>Companies that compete with us directly on the level of the development of product candidates targeting B-cell lymphomas include Gilead Sciences, Novartis and Bristol-Myers Squibb, among others. Companies developing Nectin-4 targeted agents include Seagen, Astellas and Bicycle Therapeutics.</w:t>
      </w:r>
    </w:p>
    <w:p>
      <w:pPr>
        <w:spacing w:after="0" w:line="169"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231F20"/>
        </w:rPr>
        <w:t>On the technology level, other emerging biopharmaceutical companies which can potentially develop competing cell therapy candidates to treat cancer include Editas Medicine, Inc., Fate Therapeutics, Allogene Therapeutics, CRIPSR Therapeutics, Caribou Biosciences, Cytovia Therapeutics, Shoreline Biosciences, Sana Biotechnology and Nkarta Therapeutics.</w:t>
      </w:r>
    </w:p>
    <w:p>
      <w:pPr>
        <w:spacing w:after="0" w:line="17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231F20"/>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231F20"/>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Government regulation</w:t>
      </w:r>
    </w:p>
    <w:p>
      <w:pPr>
        <w:spacing w:after="0" w:line="21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development process</w:t>
      </w:r>
    </w:p>
    <w:p>
      <w:pPr>
        <w:spacing w:after="0" w:line="21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231F20"/>
        </w:rPr>
        <w:t>The process required by the FDA before a biologic product may be marketed in the United States generally involves the following:</w:t>
      </w:r>
    </w:p>
    <w:p>
      <w:pPr>
        <w:spacing w:after="0" w:line="154" w:lineRule="exact"/>
        <w:rPr>
          <w:sz w:val="20"/>
          <w:szCs w:val="20"/>
          <w:color w:val="auto"/>
        </w:rPr>
      </w:pPr>
    </w:p>
    <w:p>
      <w:pPr>
        <w:ind w:left="720" w:right="239" w:hanging="319"/>
        <w:spacing w:after="0" w:line="252"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completion of nonclinical laboratory tests and animal studies according to Good Laboratory Practices, or cGLP, and applicable requirements for the humane use of laboratory animals or other applicable regulations;</w:t>
      </w:r>
    </w:p>
    <w:p>
      <w:pPr>
        <w:spacing w:after="0" w:line="157"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preparation of clinical trial material in accordance with cGMP;</w:t>
      </w:r>
    </w:p>
    <w:p>
      <w:pPr>
        <w:spacing w:after="0" w:line="210" w:lineRule="exact"/>
        <w:rPr>
          <w:rFonts w:ascii="Times New Roman" w:cs="Times New Roman" w:eastAsia="Times New Roman" w:hAnsi="Times New Roman"/>
          <w:sz w:val="18"/>
          <w:szCs w:val="18"/>
          <w:color w:val="231F20"/>
        </w:rPr>
      </w:pPr>
    </w:p>
    <w:p>
      <w:pPr>
        <w:ind w:left="720" w:right="9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submission to the FDA of an application for an IND, which must become effective before human clinical trials may begin;</w:t>
      </w:r>
    </w:p>
    <w:p>
      <w:pPr>
        <w:spacing w:after="0" w:line="127" w:lineRule="exact"/>
        <w:rPr>
          <w:rFonts w:ascii="Times New Roman" w:cs="Times New Roman" w:eastAsia="Times New Roman" w:hAnsi="Times New Roman"/>
          <w:sz w:val="18"/>
          <w:szCs w:val="18"/>
          <w:color w:val="231F20"/>
        </w:rPr>
      </w:pPr>
    </w:p>
    <w:p>
      <w:pPr>
        <w:ind w:left="720" w:right="31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approval by an institutional review board, or IRB, reviewing each clinical site before each clinical trial may be initiated;</w:t>
      </w:r>
    </w:p>
    <w:p>
      <w:pPr>
        <w:spacing w:after="0" w:line="140" w:lineRule="exact"/>
        <w:rPr>
          <w:rFonts w:ascii="Times New Roman" w:cs="Times New Roman" w:eastAsia="Times New Roman" w:hAnsi="Times New Roman"/>
          <w:sz w:val="18"/>
          <w:szCs w:val="18"/>
          <w:color w:val="231F20"/>
        </w:rPr>
      </w:pPr>
    </w:p>
    <w:p>
      <w:pPr>
        <w:ind w:left="720" w:right="119" w:hanging="319"/>
        <w:spacing w:after="0" w:line="246"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176" w:lineRule="exact"/>
        <w:rPr>
          <w:rFonts w:ascii="Times New Roman" w:cs="Times New Roman" w:eastAsia="Times New Roman" w:hAnsi="Times New Roman"/>
          <w:sz w:val="18"/>
          <w:szCs w:val="18"/>
          <w:color w:val="231F20"/>
        </w:rPr>
      </w:pPr>
    </w:p>
    <w:p>
      <w:pPr>
        <w:ind w:left="720" w:right="159" w:hanging="319"/>
        <w:spacing w:after="0" w:line="252"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submission to the FDA of a Biologics License Application, or BLA, for marketing approval that includes substantive evidence of safety, purity, potency, and efficacy from results of nonclinical testing and clinical trials;</w:t>
      </w:r>
    </w:p>
    <w:p>
      <w:pPr>
        <w:spacing w:after="0" w:line="170" w:lineRule="exact"/>
        <w:rPr>
          <w:rFonts w:ascii="Times New Roman" w:cs="Times New Roman" w:eastAsia="Times New Roman" w:hAnsi="Times New Roman"/>
          <w:sz w:val="18"/>
          <w:szCs w:val="18"/>
          <w:color w:val="231F20"/>
        </w:rPr>
      </w:pPr>
    </w:p>
    <w:p>
      <w:pPr>
        <w:ind w:left="720" w:right="359" w:hanging="319"/>
        <w:spacing w:after="0" w:line="246"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176" w:lineRule="exact"/>
        <w:rPr>
          <w:rFonts w:ascii="Times New Roman" w:cs="Times New Roman" w:eastAsia="Times New Roman" w:hAnsi="Times New Roman"/>
          <w:sz w:val="18"/>
          <w:szCs w:val="18"/>
          <w:color w:val="231F20"/>
        </w:rPr>
      </w:pPr>
    </w:p>
    <w:p>
      <w:pPr>
        <w:ind w:left="720" w:right="27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potential FDA audit of the nonclinical and clinical study sites that generated the data in support of the BLA;</w:t>
      </w:r>
    </w:p>
    <w:p>
      <w:pPr>
        <w:spacing w:after="0" w:line="154" w:lineRule="exact"/>
        <w:rPr>
          <w:rFonts w:ascii="Times New Roman" w:cs="Times New Roman" w:eastAsia="Times New Roman" w:hAnsi="Times New Roman"/>
          <w:sz w:val="18"/>
          <w:szCs w:val="18"/>
          <w:color w:val="231F20"/>
        </w:rPr>
      </w:pPr>
    </w:p>
    <w:p>
      <w:pPr>
        <w:ind w:left="720" w:right="23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potential FDA Advisory Committee meeting to elicit expert input on critical issues and including a vote by external committee members;</w:t>
      </w:r>
    </w:p>
    <w:p>
      <w:pPr>
        <w:spacing w:after="0" w:line="154" w:lineRule="exact"/>
        <w:rPr>
          <w:rFonts w:ascii="Times New Roman" w:cs="Times New Roman" w:eastAsia="Times New Roman" w:hAnsi="Times New Roman"/>
          <w:sz w:val="18"/>
          <w:szCs w:val="18"/>
          <w:color w:val="231F20"/>
        </w:rPr>
      </w:pPr>
    </w:p>
    <w:p>
      <w:pPr>
        <w:ind w:left="720" w:right="739" w:hanging="319"/>
        <w:spacing w:after="0" w:line="270" w:lineRule="auto"/>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FDA review and approval, or licensure, of the BLA, and payment of associated user fees, when applicable;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359" w:hanging="319"/>
        <w:spacing w:after="0" w:line="252"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compliance with any post-approval requirements, including the potential requirement to implement a Risk Evaluation and Mitigation Strategies, or REMS, and the potential requirement to conduct post-approval studies.</w:t>
      </w:r>
    </w:p>
    <w:p>
      <w:pPr>
        <w:spacing w:after="0" w:line="171"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231F20"/>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7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84" w:lineRule="exact"/>
        <w:rPr>
          <w:sz w:val="20"/>
          <w:szCs w:val="20"/>
          <w:color w:val="auto"/>
        </w:rPr>
      </w:pPr>
    </w:p>
    <w:p>
      <w:pPr>
        <w:ind w:left="60" w:right="919"/>
        <w:spacing w:after="0" w:line="238" w:lineRule="auto"/>
        <w:rPr>
          <w:sz w:val="20"/>
          <w:szCs w:val="20"/>
          <w:color w:val="auto"/>
        </w:rPr>
      </w:pPr>
      <w:r>
        <w:rPr>
          <w:rFonts w:ascii="Arial" w:cs="Arial" w:eastAsia="Arial" w:hAnsi="Arial"/>
          <w:sz w:val="18"/>
          <w:szCs w:val="18"/>
          <w:color w:val="231F20"/>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or Synthetic Nucleic Acid Molecules, or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Human clinical trials are typically conducted in three sequential phases that may overlap or be combined:</w:t>
      </w:r>
    </w:p>
    <w:p>
      <w:pPr>
        <w:spacing w:after="0" w:line="208" w:lineRule="exact"/>
        <w:rPr>
          <w:sz w:val="20"/>
          <w:szCs w:val="20"/>
          <w:color w:val="auto"/>
        </w:rPr>
      </w:pPr>
    </w:p>
    <w:p>
      <w:pPr>
        <w:ind w:left="720" w:right="139" w:hanging="319"/>
        <w:spacing w:after="0" w:line="26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Phase 1</w:t>
      </w:r>
      <w:r>
        <w:rPr>
          <w:rFonts w:ascii="Arial" w:cs="Arial" w:eastAsia="Arial" w:hAnsi="Arial"/>
          <w:sz w:val="18"/>
          <w:szCs w:val="18"/>
          <w:color w:val="231F20"/>
        </w:rPr>
        <w:t>. The biologic product is initially introduced into healthy human subjects and tested for safety. In</w:t>
      </w:r>
      <w:r>
        <w:rPr>
          <w:rFonts w:ascii="Times New Roman" w:cs="Times New Roman" w:eastAsia="Times New Roman" w:hAnsi="Times New Roman"/>
          <w:sz w:val="18"/>
          <w:szCs w:val="18"/>
          <w:b w:val="1"/>
          <w:bCs w:val="1"/>
          <w:i w:val="1"/>
          <w:iCs w:val="1"/>
          <w:color w:val="231F20"/>
        </w:rPr>
        <w:t xml:space="preserve"> </w:t>
      </w:r>
      <w:r>
        <w:rPr>
          <w:rFonts w:ascii="Arial" w:cs="Arial" w:eastAsia="Arial" w:hAnsi="Arial"/>
          <w:sz w:val="18"/>
          <w:szCs w:val="18"/>
          <w:color w:val="231F20"/>
        </w:rPr>
        <w:t>the case of some products for rare and severe diseases, initial human testing is often conducted in patients.</w:t>
      </w:r>
    </w:p>
    <w:p>
      <w:pPr>
        <w:spacing w:after="0" w:line="157" w:lineRule="exact"/>
        <w:rPr>
          <w:rFonts w:ascii="Times New Roman" w:cs="Times New Roman" w:eastAsia="Times New Roman" w:hAnsi="Times New Roman"/>
          <w:sz w:val="18"/>
          <w:szCs w:val="18"/>
          <w:color w:val="231F20"/>
        </w:rPr>
      </w:pPr>
    </w:p>
    <w:p>
      <w:pPr>
        <w:ind w:left="720" w:right="379" w:hanging="319"/>
        <w:spacing w:after="0" w:line="26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Phase 2</w:t>
      </w:r>
      <w:r>
        <w:rPr>
          <w:rFonts w:ascii="Arial" w:cs="Arial" w:eastAsia="Arial" w:hAnsi="Arial"/>
          <w:sz w:val="18"/>
          <w:szCs w:val="18"/>
          <w:color w:val="231F20"/>
        </w:rPr>
        <w:t>. The biologic product is evaluated in a limited patient population to identify possible adverse</w:t>
      </w:r>
      <w:r>
        <w:rPr>
          <w:rFonts w:ascii="Times New Roman" w:cs="Times New Roman" w:eastAsia="Times New Roman" w:hAnsi="Times New Roman"/>
          <w:sz w:val="18"/>
          <w:szCs w:val="18"/>
          <w:b w:val="1"/>
          <w:bCs w:val="1"/>
          <w:i w:val="1"/>
          <w:iCs w:val="1"/>
          <w:color w:val="231F20"/>
        </w:rPr>
        <w:t xml:space="preserve"> </w:t>
      </w:r>
      <w:r>
        <w:rPr>
          <w:rFonts w:ascii="Arial" w:cs="Arial" w:eastAsia="Arial" w:hAnsi="Arial"/>
          <w:sz w:val="18"/>
          <w:szCs w:val="18"/>
          <w:color w:val="231F20"/>
        </w:rPr>
        <w:t>effects and safety risks, to preliminarily evaluate the efficacy of the product for specific targeted diseases and to determine dosage tolerance, optimal dosage and dosing schedule.</w:t>
      </w:r>
    </w:p>
    <w:p>
      <w:pPr>
        <w:spacing w:after="0" w:line="157" w:lineRule="exact"/>
        <w:rPr>
          <w:rFonts w:ascii="Times New Roman" w:cs="Times New Roman" w:eastAsia="Times New Roman" w:hAnsi="Times New Roman"/>
          <w:sz w:val="18"/>
          <w:szCs w:val="18"/>
          <w:color w:val="231F20"/>
        </w:rPr>
      </w:pPr>
    </w:p>
    <w:p>
      <w:pPr>
        <w:ind w:left="720" w:right="119" w:hanging="319"/>
        <w:spacing w:after="0" w:line="245"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Phase 3</w:t>
      </w:r>
      <w:r>
        <w:rPr>
          <w:rFonts w:ascii="Arial" w:cs="Arial" w:eastAsia="Arial" w:hAnsi="Arial"/>
          <w:sz w:val="18"/>
          <w:szCs w:val="18"/>
          <w:color w:val="231F20"/>
        </w:rPr>
        <w:t>. Clinical trials are undertaken to further evaluate dosage, clinical efficacy, potency and safety in</w:t>
      </w:r>
      <w:r>
        <w:rPr>
          <w:rFonts w:ascii="Times New Roman" w:cs="Times New Roman" w:eastAsia="Times New Roman" w:hAnsi="Times New Roman"/>
          <w:sz w:val="18"/>
          <w:szCs w:val="18"/>
          <w:b w:val="1"/>
          <w:bCs w:val="1"/>
          <w:i w:val="1"/>
          <w:iCs w:val="1"/>
          <w:color w:val="231F20"/>
        </w:rPr>
        <w:t xml:space="preserve"> </w:t>
      </w:r>
      <w:r>
        <w:rPr>
          <w:rFonts w:ascii="Arial" w:cs="Arial" w:eastAsia="Arial" w:hAnsi="Arial"/>
          <w:sz w:val="18"/>
          <w:szCs w:val="18"/>
          <w:color w:val="231F20"/>
        </w:rPr>
        <w:t>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7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31F20"/>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231F20"/>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review and approval processes</w:t>
      </w:r>
    </w:p>
    <w:p>
      <w:pPr>
        <w:spacing w:after="0" w:line="21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231F20"/>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7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231F20"/>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7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may be minor, for example, requiring labeling changes, or major, for example, requiring additional clinical trials.</w:t>
      </w:r>
    </w:p>
    <w:p>
      <w:pPr>
        <w:spacing w:after="0" w:line="21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231F20"/>
        </w:rPr>
        <w:t>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83"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231F20"/>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With respect to oncology products, the FDA may review applications under Real-Time Oncology Review, or RTOR, established by the FDA’s Oncology Center of Excellence. RTOR, which allows an applicant to pre 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post-approval requirements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7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231F20"/>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231F20"/>
        </w:rPr>
        <w:t>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231F20"/>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Orphan drug designation</w:t>
      </w:r>
    </w:p>
    <w:p>
      <w:pPr>
        <w:spacing w:after="0" w:line="210" w:lineRule="exact"/>
        <w:rPr>
          <w:sz w:val="20"/>
          <w:szCs w:val="20"/>
          <w:color w:val="auto"/>
        </w:rPr>
      </w:pPr>
    </w:p>
    <w:p>
      <w:pPr>
        <w:ind w:left="60" w:right="179"/>
        <w:spacing w:after="0"/>
        <w:rPr>
          <w:sz w:val="20"/>
          <w:szCs w:val="20"/>
          <w:color w:val="auto"/>
        </w:rPr>
      </w:pPr>
      <w:r>
        <w:rPr>
          <w:rFonts w:ascii="Arial" w:cs="Arial" w:eastAsia="Arial" w:hAnsi="Arial"/>
          <w:sz w:val="18"/>
          <w:szCs w:val="18"/>
          <w:color w:val="231F20"/>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Expedited review and approval programs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FDA may give priority review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In addition, the FDA generally requires, unless otherwise informed by the agency, pre-approval of promotional materials for a product approved under the accelerated approval pathway, which could adversely impact the timing of the commercial launch of the product.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Moreover,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231F20"/>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Biologics Price Competition and Innovation Act</w:t>
      </w:r>
    </w:p>
    <w:p>
      <w:pPr>
        <w:spacing w:after="0" w:line="210"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231F20"/>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Regulation outside of the United States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231F20"/>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which an application for authorization of a clinical trial has been submitted (Concerned Member States) of a draft report prepared by a Reference Member State. Part II is assessed separately by each Concerned Member State. The role of the relevant ethics committees in the assessment procedure will continue to be governed by the national law of the Concerned Member State, however overall related timelines are defined by the Clinical Trials Regulation. The new Clinical Trials Regulation also provides for simplified reporting procedures for clinical trial sponsors.</w:t>
      </w:r>
    </w:p>
    <w:p>
      <w:pPr>
        <w:spacing w:after="0" w:line="17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231F20"/>
        </w:rPr>
        <w:t>In addition, whether or not we obtain FDA approval for a product, we must obtain approval of a product by the comparable regulatory authorities of countries outside the United States before we can market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7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To obtain regulatory approval of our product candidates under the European Union regulatory system, we are required to submit a marketing authorization application, or MAA, to be assessed in the centralized procedure. The centralized procedure allows applicants to obtain a marketing authorization, or MA, that is valid throughout the European Union, and the additional Member States of the European Economic Area (Iceland, Liechtenstein and Norway), or EEA. It is compulsory for medicinal products manufactured using biotechnological processes, for orphan medicinal products, for advanced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that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The procedure results in a European Commission decision, which is valid in all European Union Member States. The centralized procedure is as follows: full copies of the MA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192"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7"/>
          <w:szCs w:val="17"/>
          <w:color w:val="231F20"/>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w:t>
      </w:r>
    </w:p>
    <w:p>
      <w:pPr>
        <w:spacing w:after="0" w:line="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231F20"/>
        </w:rPr>
        <w:t>When the opinion is favorable, it shall include the draft summary of product characteristics, or SmPC, the package leaflet and the labeling. The time limit for the evaluation procedure is 210 days (excluding clock stops, when additional written or oral information is to be provided by the applicant in response to questions asked by the CHMP).The EMA then has fifteen days to forward its opinion to the European Commission, which will make a binding decision on the grant of an MA within 67 days of the receipt of the CHMP opinion.</w:t>
      </w:r>
    </w:p>
    <w:p>
      <w:pPr>
        <w:spacing w:after="0" w:line="18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31F20"/>
        </w:rPr>
        <w:t>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31F20"/>
        </w:rPr>
        <w:t>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European Union. In addition, orphan designation can be granted if the product is intended for a life threatening, seriously debilitating, or serious and chronic condition in the European Union and where, without incentives, it is unlikely that sales of the product in the European Union would be sufficient to justify the necessary investment in its development. Orphan drug designation is only available if there is no other satisfactory method approved in the European Union of diagnosing, preventing, or treating the applicable orphan condition, or if such a method exists, the proposed orphan drug will be of significant benefit to patients affected by such condition, as defined in Regulation (EC) 847/2000.</w:t>
      </w:r>
    </w:p>
    <w:p>
      <w:pPr>
        <w:spacing w:after="0" w:line="18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Orphan designation provides opportunities for fee reductions, protocol assistance and access to the centralized procedure before and during the first year after a marketing authorization. Fee reductions are not limited to the first year after a marketing authorization for small and medium enterprises. In addition, if a product that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Additionally, an MA may be granted to a similar medicinal product for the same indication at any time if:</w:t>
      </w:r>
    </w:p>
    <w:p>
      <w:pPr>
        <w:spacing w:after="0" w:line="180" w:lineRule="exact"/>
        <w:rPr>
          <w:sz w:val="20"/>
          <w:szCs w:val="20"/>
          <w:color w:val="auto"/>
        </w:rPr>
      </w:pPr>
    </w:p>
    <w:p>
      <w:pPr>
        <w:ind w:left="60" w:right="99" w:hanging="10"/>
        <w:spacing w:after="0" w:line="271" w:lineRule="auto"/>
        <w:tabs>
          <w:tab w:leader="none" w:pos="708"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second applicant can establish that its product, although similar to the authorized orphan product, is safer, more effective or otherwise clinically superior;</w:t>
      </w:r>
    </w:p>
    <w:p>
      <w:pPr>
        <w:spacing w:after="0" w:line="153" w:lineRule="exact"/>
        <w:rPr>
          <w:rFonts w:ascii="Arial" w:cs="Arial" w:eastAsia="Arial" w:hAnsi="Arial"/>
          <w:sz w:val="18"/>
          <w:szCs w:val="18"/>
          <w:color w:val="231F20"/>
        </w:rPr>
      </w:pPr>
    </w:p>
    <w:p>
      <w:pPr>
        <w:ind w:left="700" w:hanging="650"/>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MA holder of the authorized product consents to a second orphan medicinal product application; or</w:t>
      </w:r>
    </w:p>
    <w:p>
      <w:pPr>
        <w:spacing w:after="0" w:line="211" w:lineRule="exact"/>
        <w:rPr>
          <w:rFonts w:ascii="Arial" w:cs="Arial" w:eastAsia="Arial" w:hAnsi="Arial"/>
          <w:sz w:val="18"/>
          <w:szCs w:val="18"/>
          <w:color w:val="231F20"/>
        </w:rPr>
      </w:pPr>
    </w:p>
    <w:p>
      <w:pPr>
        <w:ind w:left="700" w:hanging="650"/>
        <w:spacing w:after="0"/>
        <w:tabs>
          <w:tab w:leader="none" w:pos="7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MA holder of the authorized product cannot supply enough orphan medicinal product.</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231F20"/>
        </w:rPr>
        <w:t>A pediatric investigation plan, or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or SPC, by six months(provided an application for such extension is made at the same time as filing the SPC application for the product, or at any point up to 2 years before the SPC expires). This is the case even when the studies’ results are negative. For orphan medicinal products, the incentive is an additional two years of market exclusivity.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231F20"/>
        </w:rPr>
        <w:t>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or PUMA. If a PUMA is granted, the product will benefit from ten years of market protection as an incentive.</w:t>
      </w:r>
    </w:p>
    <w:p>
      <w:pPr>
        <w:spacing w:after="0" w:line="174"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In March 2016, the EMA launched an initiative, The PRIority Medicines, or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231F20"/>
        </w:rPr>
        <w:t>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aforementioned European Union rules are generally applicable in the EEA.</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The United Kingdom left the European Union on January 31, 2020, referred to as Brexit, and the United Kingdom and the European Union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Except in respect of the new EU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the new framework mentioned below which will be put in place by the MHRA from January 1, 2024, the MHRA has stated that it will take into account decisions on the approval of MAs from the EMA (and certain other regulators) when considering an application for a Great Britain MA.</w:t>
      </w:r>
    </w:p>
    <w:p>
      <w:pPr>
        <w:spacing w:after="0" w:line="18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Medicines and Healthcare products Regulatory Agency, or MHRA, the United Kingdom’s medicines regulator,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18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31F20"/>
        </w:rPr>
        <w:t>There is now no pre-MA orphan designation in Great Britain. Instead, the MHRA reviews applications for orphan designation in parallel to the corresponding MAA. The criteria are essentially the same, but have been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231F20"/>
        </w:rPr>
        <w:t>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Union, wherever is earliest.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Healthcare laws and regulations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231F20"/>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74" w:lineRule="exact"/>
        <w:rPr>
          <w:sz w:val="20"/>
          <w:szCs w:val="20"/>
          <w:color w:val="auto"/>
        </w:rPr>
      </w:pPr>
    </w:p>
    <w:p>
      <w:pPr>
        <w:ind w:left="720" w:right="179" w:hanging="319"/>
        <w:spacing w:after="0" w:line="243"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79" w:lineRule="exact"/>
        <w:rPr>
          <w:rFonts w:ascii="Times New Roman" w:cs="Times New Roman" w:eastAsia="Times New Roman" w:hAnsi="Times New Roman"/>
          <w:sz w:val="18"/>
          <w:szCs w:val="18"/>
          <w:color w:val="231F20"/>
        </w:rPr>
      </w:pPr>
    </w:p>
    <w:p>
      <w:pPr>
        <w:jc w:val="both"/>
        <w:ind w:left="720" w:right="379" w:hanging="319"/>
        <w:spacing w:after="0" w:line="246"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176" w:lineRule="exact"/>
        <w:rPr>
          <w:rFonts w:ascii="Times New Roman" w:cs="Times New Roman" w:eastAsia="Times New Roman" w:hAnsi="Times New Roman"/>
          <w:sz w:val="18"/>
          <w:szCs w:val="18"/>
          <w:color w:val="231F20"/>
        </w:rPr>
      </w:pPr>
    </w:p>
    <w:p>
      <w:pPr>
        <w:ind w:left="720" w:right="299" w:hanging="319"/>
        <w:spacing w:after="0" w:line="243"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231F20"/>
        </w:rPr>
      </w:pPr>
    </w:p>
    <w:p>
      <w:pPr>
        <w:ind w:left="720" w:right="119" w:hanging="319"/>
        <w:spacing w:after="0" w:line="246"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76" w:lineRule="exact"/>
        <w:rPr>
          <w:rFonts w:ascii="Times New Roman" w:cs="Times New Roman" w:eastAsia="Times New Roman" w:hAnsi="Times New Roman"/>
          <w:sz w:val="18"/>
          <w:szCs w:val="18"/>
          <w:color w:val="231F20"/>
        </w:rPr>
      </w:pPr>
    </w:p>
    <w:p>
      <w:pPr>
        <w:ind w:left="720" w:right="259" w:hanging="319"/>
        <w:spacing w:after="0" w:line="239"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nurse practitioners, clinical nurse specialists, certified registered nurse anesthetists, anesthesiologist assistants, certified nurse-midwives, and physician assistants, as well as ownership and investment interests held by physicians and their immediate family members;</w:t>
      </w:r>
    </w:p>
    <w:p>
      <w:pPr>
        <w:spacing w:after="0" w:line="186" w:lineRule="exact"/>
        <w:rPr>
          <w:rFonts w:ascii="Times New Roman" w:cs="Times New Roman" w:eastAsia="Times New Roman" w:hAnsi="Times New Roman"/>
          <w:sz w:val="18"/>
          <w:szCs w:val="18"/>
          <w:color w:val="231F20"/>
        </w:rPr>
      </w:pPr>
    </w:p>
    <w:p>
      <w:pPr>
        <w:ind w:left="720" w:right="339" w:hanging="319"/>
        <w:spacing w:after="0" w:line="252"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Price reporting laws require manufacturers to calculate and report complex pricing metrics to federal and state government agencies, where such reported prices may be used in the calculation of reimbursement and/or discounts on approved products;</w:t>
      </w:r>
    </w:p>
    <w:p>
      <w:pPr>
        <w:spacing w:after="0" w:line="170" w:lineRule="exact"/>
        <w:rPr>
          <w:rFonts w:ascii="Times New Roman" w:cs="Times New Roman" w:eastAsia="Times New Roman" w:hAnsi="Times New Roman"/>
          <w:sz w:val="18"/>
          <w:szCs w:val="18"/>
          <w:color w:val="231F20"/>
        </w:rPr>
      </w:pPr>
    </w:p>
    <w:p>
      <w:pPr>
        <w:ind w:left="720" w:right="99" w:hanging="319"/>
        <w:spacing w:after="0" w:line="270" w:lineRule="auto"/>
        <w:tabs>
          <w:tab w:leader="none" w:pos="72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Federal consumer protection and unfair competition laws, which broadly regulate marketplace activities and activities that potentially harm consumers; and</w:t>
      </w:r>
    </w:p>
    <w:p>
      <w:pPr>
        <w:spacing w:after="0" w:line="154" w:lineRule="exact"/>
        <w:rPr>
          <w:rFonts w:ascii="Times New Roman" w:cs="Times New Roman" w:eastAsia="Times New Roman" w:hAnsi="Times New Roman"/>
          <w:sz w:val="18"/>
          <w:szCs w:val="18"/>
          <w:color w:val="231F20"/>
        </w:rPr>
      </w:pPr>
    </w:p>
    <w:p>
      <w:pPr>
        <w:ind w:left="720" w:right="239" w:hanging="319"/>
        <w:spacing w:after="0" w:line="274" w:lineRule="auto"/>
        <w:tabs>
          <w:tab w:leader="none" w:pos="720" w:val="left"/>
        </w:tabs>
        <w:numPr>
          <w:ilvl w:val="0"/>
          <w:numId w:val="20"/>
        </w:numPr>
        <w:rPr>
          <w:rFonts w:ascii="Times New Roman" w:cs="Times New Roman" w:eastAsia="Times New Roman" w:hAnsi="Times New Roman"/>
          <w:sz w:val="17"/>
          <w:szCs w:val="17"/>
          <w:color w:val="231F20"/>
        </w:rPr>
      </w:pPr>
      <w:r>
        <w:rPr>
          <w:rFonts w:ascii="Arial" w:cs="Arial" w:eastAsia="Arial" w:hAnsi="Arial"/>
          <w:sz w:val="17"/>
          <w:szCs w:val="17"/>
          <w:color w:val="231F20"/>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19"/>
        <w:spacing w:after="0" w:line="271" w:lineRule="auto"/>
        <w:rPr>
          <w:sz w:val="20"/>
          <w:szCs w:val="20"/>
          <w:color w:val="auto"/>
        </w:rPr>
      </w:pPr>
      <w:r>
        <w:rPr>
          <w:rFonts w:ascii="Arial" w:cs="Arial" w:eastAsia="Arial" w:hAnsi="Arial"/>
          <w:sz w:val="18"/>
          <w:szCs w:val="18"/>
          <w:color w:val="231F20"/>
        </w:rPr>
        <w:t>his or her official capacity or to secure any other improper advantage in order to obtain or retain business.</w:t>
      </w:r>
    </w:p>
    <w:p>
      <w:pPr>
        <w:spacing w:after="0" w:line="15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Healthcare Reform</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w:t>
      </w:r>
    </w:p>
    <w:p>
      <w:pPr>
        <w:spacing w:after="0" w:line="189" w:lineRule="exact"/>
        <w:rPr>
          <w:sz w:val="20"/>
          <w:szCs w:val="20"/>
          <w:color w:val="auto"/>
        </w:rPr>
      </w:pPr>
    </w:p>
    <w:p>
      <w:pPr>
        <w:ind w:left="60" w:right="399"/>
        <w:spacing w:after="0" w:line="255" w:lineRule="auto"/>
        <w:rPr>
          <w:sz w:val="20"/>
          <w:szCs w:val="20"/>
          <w:color w:val="auto"/>
        </w:rPr>
      </w:pPr>
      <w:r>
        <w:rPr>
          <w:rFonts w:ascii="Arial" w:cs="Arial" w:eastAsia="Arial" w:hAnsi="Arial"/>
          <w:sz w:val="17"/>
          <w:szCs w:val="17"/>
          <w:color w:val="231F20"/>
        </w:rPr>
        <w:t>Other legislative changes have been proposed and adopted since passage of the Affordable Care Act. The Budget Control Act of 2011 and subsequent legislation, among other things, include aggregate reductions to Medicare payments to healthcare providers of up to 2% per fiscal year, which remain in effect through 2023.</w:t>
      </w:r>
    </w:p>
    <w:p>
      <w:pPr>
        <w:spacing w:after="0" w:line="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Further,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American Rescue Plan Act of 2021 eliminates the statutory Medicaid drug rebate cap, previously set at 100% of a drug’s average manufacturer price, for single source and innovator multiple source drugs, effective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231F20"/>
        </w:rPr>
        <w:t>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just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business and the healthcare industry in general is not yet known.</w:t>
      </w:r>
    </w:p>
    <w:p>
      <w:pPr>
        <w:spacing w:after="0" w:line="19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31F20"/>
        </w:rPr>
        <w:t>Further legislative and regulatory changes under the Affordable Care Act remain possible.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231F20"/>
        </w:rPr>
        <w:t>The Affordable Care Act has also been subject to challenges in the courts. For example, on June 17, 2021, the Supreme Court dismissed the most recent judicial challenge to the Affordable Care Act brought by several states without specifically ruling on the constitutionality of the Affordable Care Act.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79"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231F20"/>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(expanded by later legislation to 70%, effective January 1, 2019).</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231F20"/>
        </w:rPr>
        <w:t>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69" w:lineRule="exact"/>
        <w:rPr>
          <w:sz w:val="20"/>
          <w:szCs w:val="20"/>
          <w:color w:val="auto"/>
        </w:rPr>
      </w:pPr>
    </w:p>
    <w:p>
      <w:pPr>
        <w:ind w:left="60" w:right="1059"/>
        <w:spacing w:after="0" w:line="244" w:lineRule="auto"/>
        <w:rPr>
          <w:sz w:val="20"/>
          <w:szCs w:val="20"/>
          <w:color w:val="auto"/>
        </w:rPr>
      </w:pPr>
      <w:r>
        <w:rPr>
          <w:rFonts w:ascii="Arial" w:cs="Arial" w:eastAsia="Arial" w:hAnsi="Arial"/>
          <w:sz w:val="18"/>
          <w:szCs w:val="18"/>
          <w:color w:val="231F20"/>
        </w:rPr>
        <w:t>President Biden has also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231F20"/>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Human capital resources</w:t>
      </w:r>
    </w:p>
    <w:p>
      <w:pPr>
        <w:spacing w:after="0" w:line="20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231F20"/>
        </w:rPr>
        <w:t>As of March 1, 2024, we had 152 full-time employees and 13 part-time employees. Of our 165 full and part-time employees, 135 are engaged in research and development activities. We consider our relationship with our employees to be good.</w:t>
      </w:r>
    </w:p>
    <w:p>
      <w:pPr>
        <w:spacing w:after="0" w:line="142"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We regularly evaluate our compensation programs with an independent compensation consultant and utilize industry benchmarking in an effort to ensure competitiveness compared to similar biotechnology and biopharmaceutical companies with which we compete for talent, as well as fair and equitable treatment across our workforce with respect to gender, race, and other personal characteristics.</w:t>
      </w:r>
    </w:p>
    <w:p>
      <w:pPr>
        <w:spacing w:after="0" w:line="167"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231F20"/>
        </w:rPr>
        <w:t>We are an equal opportunity employer and we maintain policies that prohibit unlawful discrimination based on race, color, religion, gender, sexual orientation, gender identity/expression, national origin/ancestry, age, disability, marital and veteran status. Our employees are not part of any collective bargaining agreements, and we believe that we have good relations with our employees.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Facilities</w:t>
      </w:r>
    </w:p>
    <w:p>
      <w:pPr>
        <w:spacing w:after="0" w:line="18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principal executive offices are located in Philadelphia, Pennsylvania. We operate in three office and laboratory spaces in Philadelphia pursuant to leases that expire in December 2025, October 2031 and March 2034. Additionally, we lease office and laboratory space in Seattle, Washington pursuant to leases expiring in September 2030, respectively and laboratory and office space in Hamilton, Ontario, pursuant to a lease that expires in May 2024. We also have a 53,000 square foot cell therapy manufacturing facility in Branchburg, New Jersey pursuant to a lease expiring in February 2037. We believe that our current facilities are adequate to meet our ongoing needs.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Legal proceedings</w:t>
      </w:r>
    </w:p>
    <w:p>
      <w:pPr>
        <w:spacing w:after="0" w:line="198"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231F20"/>
        </w:rPr>
        <w:t>We are not currently a party to any material legal proceedings. From time to time, we may become involved in other litigation or legal proceedings relating to claims arising from the ordinary course of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Available Information</w:t>
      </w:r>
    </w:p>
    <w:p>
      <w:pPr>
        <w:spacing w:after="0" w:line="19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website address is www.centurytx.com. Our Annual Report on Form 10-K, quarterly reports on Form 10-Q, current reports on Form 8-K, any amendments to those reports, proxy and registration statements filed or furnished with the Securities and Exchange Commission, or SEC, are available free of charge through our website. We make these materials available through our website as soon as reasonably practicable after we electronically file such materials with, or furnish such materials to, the SEC. The reports filed with the SEC by our executive officers and directors pursuant to Section 16 under the Exchange Act are also made available, free of charge on our website, as soon as reasonably practicable after copies of those filings are provided to us by those persons. These materials can be accessed through the “Investors-Financial Information” section of our website. The information contained in, or that can be accessed through, our website is not part of this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1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“Risk Factors” in this Annual Report on Form 10-K. The below summary is qualified in its entirety by those more complete discussions of such risks and uncertainties.</w:t>
      </w:r>
    </w:p>
    <w:p>
      <w:pPr>
        <w:spacing w:after="0" w:line="179" w:lineRule="exact"/>
        <w:rPr>
          <w:sz w:val="20"/>
          <w:szCs w:val="20"/>
          <w:color w:val="auto"/>
        </w:rPr>
      </w:pPr>
    </w:p>
    <w:p>
      <w:pPr>
        <w:ind w:left="60" w:right="119" w:hanging="10"/>
        <w:spacing w:after="0" w:line="253"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expect that we will continue to incur significant losses for the foreseeable future, and require additional funding in order to finance operations;</w:t>
      </w:r>
    </w:p>
    <w:p>
      <w:pPr>
        <w:spacing w:after="0" w:line="168" w:lineRule="exact"/>
        <w:rPr>
          <w:rFonts w:ascii="Arial" w:cs="Arial" w:eastAsia="Arial" w:hAnsi="Arial"/>
          <w:sz w:val="18"/>
          <w:szCs w:val="18"/>
          <w:color w:val="auto"/>
        </w:rPr>
      </w:pPr>
    </w:p>
    <w:p>
      <w:pPr>
        <w:ind w:left="700" w:hanging="65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achieve or maintain profitability;</w:t>
      </w:r>
    </w:p>
    <w:p>
      <w:pPr>
        <w:spacing w:after="0" w:line="211" w:lineRule="exact"/>
        <w:rPr>
          <w:rFonts w:ascii="Arial" w:cs="Arial" w:eastAsia="Arial" w:hAnsi="Arial"/>
          <w:sz w:val="18"/>
          <w:szCs w:val="18"/>
          <w:color w:val="auto"/>
        </w:rPr>
      </w:pPr>
    </w:p>
    <w:p>
      <w:pPr>
        <w:jc w:val="both"/>
        <w:ind w:left="60" w:right="299" w:hanging="10"/>
        <w:spacing w:after="0" w:line="253"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168" w:lineRule="exact"/>
        <w:rPr>
          <w:rFonts w:ascii="Arial" w:cs="Arial" w:eastAsia="Arial" w:hAnsi="Arial"/>
          <w:sz w:val="18"/>
          <w:szCs w:val="18"/>
          <w:color w:val="auto"/>
        </w:rPr>
      </w:pPr>
    </w:p>
    <w:p>
      <w:pPr>
        <w:ind w:left="60" w:right="279" w:hanging="10"/>
        <w:spacing w:after="0" w:line="271"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highly dependent on the success of our lead product candidate, CNTY-101, which is currently undergoing Phase 1 clinical trials, and our other product candidates;</w:t>
      </w:r>
    </w:p>
    <w:p>
      <w:pPr>
        <w:spacing w:after="0" w:line="153" w:lineRule="exact"/>
        <w:rPr>
          <w:rFonts w:ascii="Arial" w:cs="Arial" w:eastAsia="Arial" w:hAnsi="Arial"/>
          <w:sz w:val="18"/>
          <w:szCs w:val="18"/>
          <w:color w:val="auto"/>
        </w:rPr>
      </w:pPr>
    </w:p>
    <w:p>
      <w:pPr>
        <w:ind w:left="60" w:right="259" w:hanging="10"/>
        <w:spacing w:after="0" w:line="253"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Utilizing CAR-iNK and CAR-iT cells represents a novel approach to immuno-oncology treatment of cancer and autoimmune and inflammatory diseases, and we must overcome significant challenges in order to develop, commercialize, and manufacture our product candidates;</w:t>
      </w:r>
    </w:p>
    <w:p>
      <w:pPr>
        <w:spacing w:after="0" w:line="168" w:lineRule="exact"/>
        <w:rPr>
          <w:rFonts w:ascii="Arial" w:cs="Arial" w:eastAsia="Arial" w:hAnsi="Arial"/>
          <w:sz w:val="18"/>
          <w:szCs w:val="18"/>
          <w:color w:val="auto"/>
        </w:rPr>
      </w:pPr>
    </w:p>
    <w:p>
      <w:pPr>
        <w:ind w:left="60" w:right="99" w:hanging="10"/>
        <w:spacing w:after="0" w:line="253"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68" w:lineRule="exact"/>
        <w:rPr>
          <w:rFonts w:ascii="Arial" w:cs="Arial" w:eastAsia="Arial" w:hAnsi="Arial"/>
          <w:sz w:val="18"/>
          <w:szCs w:val="18"/>
          <w:color w:val="auto"/>
        </w:rPr>
      </w:pPr>
    </w:p>
    <w:p>
      <w:pPr>
        <w:ind w:left="60" w:right="559" w:hanging="10"/>
        <w:spacing w:after="0" w:line="247"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73" w:lineRule="exact"/>
        <w:rPr>
          <w:rFonts w:ascii="Arial" w:cs="Arial" w:eastAsia="Arial" w:hAnsi="Arial"/>
          <w:sz w:val="18"/>
          <w:szCs w:val="18"/>
          <w:color w:val="auto"/>
        </w:rPr>
      </w:pPr>
    </w:p>
    <w:p>
      <w:pPr>
        <w:ind w:left="60" w:right="99" w:hanging="10"/>
        <w:spacing w:after="0" w:line="247"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an organization, we have limited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73" w:lineRule="exact"/>
        <w:rPr>
          <w:rFonts w:ascii="Arial" w:cs="Arial" w:eastAsia="Arial" w:hAnsi="Arial"/>
          <w:sz w:val="18"/>
          <w:szCs w:val="18"/>
          <w:color w:val="auto"/>
        </w:rPr>
      </w:pPr>
    </w:p>
    <w:p>
      <w:pPr>
        <w:ind w:left="60" w:right="119" w:hanging="10"/>
        <w:spacing w:after="0" w:line="253"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manufacture and distribution of our iPSC-derived cell product candidates is complex and subject to a multitude of risks, and these risks could substantially increase our costs and limit the clinical and commercial supply of our product candidates;</w:t>
      </w:r>
    </w:p>
    <w:p>
      <w:pPr>
        <w:spacing w:after="0" w:line="168" w:lineRule="exact"/>
        <w:rPr>
          <w:rFonts w:ascii="Arial" w:cs="Arial" w:eastAsia="Arial" w:hAnsi="Arial"/>
          <w:sz w:val="18"/>
          <w:szCs w:val="18"/>
          <w:color w:val="auto"/>
        </w:rPr>
      </w:pPr>
    </w:p>
    <w:p>
      <w:pPr>
        <w:ind w:left="60" w:right="279" w:hanging="10"/>
        <w:spacing w:after="0" w:line="244"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firstLine="648"/>
        <w:spacing w:after="0" w:line="247" w:lineRule="auto"/>
        <w:rPr>
          <w:sz w:val="20"/>
          <w:szCs w:val="20"/>
          <w:color w:val="auto"/>
        </w:rPr>
      </w:pPr>
      <w:r>
        <w:rPr>
          <w:rFonts w:ascii="Arial" w:cs="Arial" w:eastAsia="Arial" w:hAnsi="Arial"/>
          <w:sz w:val="18"/>
          <w:szCs w:val="18"/>
          <w:color w:val="auto"/>
        </w:rPr>
        <w:t>We rely on third parties for the manufacture of some of our product candidates for development, and we are beginning to operate our own manufacturing facility for the production of certain of our product candidates. Operational issues with our own facility or with third party facilities could delay our development plans and thereby limit our ability to generate revenue;</w:t>
      </w:r>
    </w:p>
    <w:p>
      <w:pPr>
        <w:spacing w:after="0" w:line="174" w:lineRule="exact"/>
        <w:rPr>
          <w:sz w:val="20"/>
          <w:szCs w:val="20"/>
          <w:color w:val="auto"/>
        </w:rPr>
      </w:pPr>
    </w:p>
    <w:p>
      <w:pPr>
        <w:ind w:left="60" w:right="219" w:hanging="10"/>
        <w:spacing w:after="0" w:line="247" w:lineRule="auto"/>
        <w:tabs>
          <w:tab w:leader="none" w:pos="7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become dependent on Bristol-Myers Squibb Company, or Bristol-Myers Squibb, for development and commercialization activities with respect to certain of our product candidates pursuant to our collaboration with Bristol-Myers Squibb and cannot control whether Bristol-Myers Squibb will devote sufficient attention or resources to this collaboration or proceed in an expeditious manner;</w:t>
      </w:r>
    </w:p>
    <w:p>
      <w:pPr>
        <w:spacing w:after="0" w:line="174"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69" w:lineRule="exact"/>
        <w:rPr>
          <w:sz w:val="20"/>
          <w:szCs w:val="20"/>
          <w:color w:val="auto"/>
        </w:rPr>
      </w:pPr>
    </w:p>
    <w:p>
      <w:pPr>
        <w:ind w:left="60" w:right="379" w:hanging="10"/>
        <w:spacing w:after="0" w:line="253" w:lineRule="auto"/>
        <w:tabs>
          <w:tab w:leader="none" w:pos="7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69"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7"/>
          <w:szCs w:val="17"/>
          <w:color w:val="auto"/>
        </w:rPr>
        <w:t>Any pandemic, epidemic, or outbreak of an infectious disease may materially and adversely affect our business and our financial results and could cause a disruption to the development of our drug candidates;</w:t>
      </w:r>
    </w:p>
    <w:p>
      <w:pPr>
        <w:spacing w:after="0" w:line="131" w:lineRule="exact"/>
        <w:rPr>
          <w:sz w:val="20"/>
          <w:szCs w:val="20"/>
          <w:color w:val="auto"/>
        </w:rPr>
      </w:pPr>
    </w:p>
    <w:p>
      <w:pPr>
        <w:ind w:left="60" w:right="519" w:hanging="10"/>
        <w:spacing w:after="0" w:line="301" w:lineRule="auto"/>
        <w:tabs>
          <w:tab w:leader="none" w:pos="7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success depends on obtaining, protecting, maintaining, and enforcing our intellectual property rights and our proprietary technologies, including intellectual property rights that are licensed to us;</w:t>
      </w:r>
    </w:p>
    <w:p>
      <w:pPr>
        <w:spacing w:after="0" w:line="130" w:lineRule="exact"/>
        <w:rPr>
          <w:rFonts w:ascii="Arial" w:cs="Arial" w:eastAsia="Arial" w:hAnsi="Arial"/>
          <w:sz w:val="17"/>
          <w:szCs w:val="17"/>
          <w:color w:val="auto"/>
        </w:rPr>
      </w:pPr>
    </w:p>
    <w:p>
      <w:pPr>
        <w:ind w:left="700" w:hanging="65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do not currently own issued patents relating to some of our product candidates;</w:t>
      </w:r>
    </w:p>
    <w:p>
      <w:pPr>
        <w:spacing w:after="0" w:line="211" w:lineRule="exact"/>
        <w:rPr>
          <w:rFonts w:ascii="Arial" w:cs="Arial" w:eastAsia="Arial" w:hAnsi="Arial"/>
          <w:sz w:val="18"/>
          <w:szCs w:val="18"/>
          <w:color w:val="auto"/>
        </w:rPr>
      </w:pPr>
    </w:p>
    <w:p>
      <w:pPr>
        <w:ind w:left="60" w:right="399" w:hanging="10"/>
        <w:spacing w:after="0" w:line="271"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of our license agreements with FUJIFILM Cellular Dynamics Inc., or FCDI, are terminated, we could lose our rights to key components enabling our iPSC-derived allogenic cell therapy platforms;</w:t>
      </w:r>
    </w:p>
    <w:p>
      <w:pPr>
        <w:spacing w:after="0" w:line="153" w:lineRule="exact"/>
        <w:rPr>
          <w:rFonts w:ascii="Arial" w:cs="Arial" w:eastAsia="Arial" w:hAnsi="Arial"/>
          <w:sz w:val="18"/>
          <w:szCs w:val="18"/>
          <w:color w:val="auto"/>
        </w:rPr>
      </w:pPr>
    </w:p>
    <w:p>
      <w:pPr>
        <w:ind w:left="60" w:right="119" w:hanging="10"/>
        <w:spacing w:after="0"/>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commercial success depends significantly on our ability to operate without infringing, misappropriating, or otherwise violating the patents and other intellectual property and proprietary rights of thirds parties. Claims by third parties that we infringe, misappropriate, or violate their intellectual property or proprietary rights may result in liability for damages or prevent or delay our development and commercialization efforts, and 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84" w:lineRule="exact"/>
        <w:rPr>
          <w:rFonts w:ascii="Arial" w:cs="Arial" w:eastAsia="Arial" w:hAnsi="Arial"/>
          <w:sz w:val="18"/>
          <w:szCs w:val="18"/>
          <w:color w:val="auto"/>
        </w:rPr>
      </w:pPr>
    </w:p>
    <w:p>
      <w:pPr>
        <w:ind w:left="60" w:right="399" w:hanging="10"/>
        <w:spacing w:after="0" w:line="271"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highly volatile, and purchasers of our common stock could incur substantial losses; and</w:t>
      </w:r>
    </w:p>
    <w:p>
      <w:pPr>
        <w:spacing w:after="0" w:line="153" w:lineRule="exact"/>
        <w:rPr>
          <w:rFonts w:ascii="Arial" w:cs="Arial" w:eastAsia="Arial" w:hAnsi="Arial"/>
          <w:sz w:val="18"/>
          <w:szCs w:val="18"/>
          <w:color w:val="auto"/>
        </w:rPr>
      </w:pPr>
    </w:p>
    <w:p>
      <w:pPr>
        <w:jc w:val="both"/>
        <w:ind w:left="60" w:right="319" w:hanging="10"/>
        <w:spacing w:after="0" w:line="253"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principal stockholders, and affiliates continue to exercise significant control over our company, which limits the ability of our other stockholders to influence corporate matters and could delay or prevent a change in corporate control.</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1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an early stage biopharmaceutical company with a limited operating history. Our operations to date have been limited raising capital, conducting discovery and research activities, filing patent applications, identifying potential product candidates, undertaking preclinical studies, in-licensing intellectual property, establishing manufacturing processes, conducting our Phase 1 clinical trial, ELiPSE-1, evaluating CNTY-101 in patients with relapsed or refractory CD19-positive B-cell lymphomas and preparing to initiate our Phase 1 CALiPSO-1 clinical trial to evaluate CNTY-101 in patients with moderate to severe systemic lupus erythematosus, or SLE, who have failed at least two standard immunosuppressive therapies. We have not yet demonstrated our ability to successfully complete a clinical trial,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185"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39"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have incurred significant operating losses since our inception. If our product candidates are not successfully developed and approved, we may never generate any revenue. Our net losses for the years ended December 31, 2023 and 2022 were $136.7 million and $130.9 million, respectively. As of December 31, 2023, we had an accumulated deficit of $655.8 million.</w:t>
      </w:r>
    </w:p>
    <w:p>
      <w:pPr>
        <w:spacing w:after="0" w:line="17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Substantially all of our losses have resulted from expenses incurred in connection with our research and development programs, our Phase 1 clinical trial, ELiPSE-1, the preparation of our Phase 1 CALiPSO-1 clinical trial for CNTY-101, the acquisition of IPR&amp;D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We expect that it will be several years, if ever, before we have a commercialized product. We anticipate that our expenses will increase substantially if, and as, we:</w:t>
      </w:r>
    </w:p>
    <w:p>
      <w:pPr>
        <w:spacing w:after="0" w:line="154" w:lineRule="exact"/>
        <w:rPr>
          <w:sz w:val="20"/>
          <w:szCs w:val="20"/>
          <w:color w:val="auto"/>
        </w:rPr>
      </w:pPr>
    </w:p>
    <w:p>
      <w:pPr>
        <w:ind w:left="1340" w:hanging="64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advance our induced pluripotent stem cells, or iPSC-derived allogeneic, cell therapy</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platforms;</w:t>
      </w:r>
    </w:p>
    <w:p>
      <w:pPr>
        <w:spacing w:after="0" w:line="193" w:lineRule="exact"/>
        <w:rPr>
          <w:rFonts w:ascii="Arial" w:cs="Arial" w:eastAsia="Arial" w:hAnsi="Arial"/>
          <w:sz w:val="18"/>
          <w:szCs w:val="18"/>
          <w:color w:val="auto"/>
        </w:rPr>
      </w:pPr>
    </w:p>
    <w:p>
      <w:pPr>
        <w:ind w:left="60" w:right="219" w:firstLine="638"/>
        <w:spacing w:after="0" w:line="271" w:lineRule="auto"/>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clinical development of CNTY-101 and the preclinical and clinical development of our other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facilities;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clinical trials;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11" w:lineRule="exact"/>
        <w:rPr>
          <w:rFonts w:ascii="Arial" w:cs="Arial" w:eastAsia="Arial" w:hAnsi="Arial"/>
          <w:sz w:val="18"/>
          <w:szCs w:val="18"/>
          <w:color w:val="auto"/>
        </w:rPr>
      </w:pPr>
    </w:p>
    <w:p>
      <w:pPr>
        <w:ind w:left="60" w:right="519" w:firstLine="638"/>
        <w:spacing w:after="0" w:line="253"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such as operational, financial, and management information systems and personnel, including personnel to support our drug development, any future commercialization efforts; and</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one product candidate in clinical development for multiple indications and no product candidates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8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171"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5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activities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Our research and development expenses decreased from $97.2 million for the year ended December 31, 2022 to $93.1 million for the year ended December 31, 2023. As of December 31, 2023, we had cash, and cash equivalents of $47.3 million and investments of $214.5 million. Based on our research and development plans, we believe our existing cash, cash equivalents and investments will be sufficient to fund our operating expenses and capital expenditures requirements. Based on our current business plans, we believe our cash, cash equivalents and investments will be sufficient for us to fund our operating expenses and capital expenditures into 2026.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and we may need to seek additional funds sooner than planned. If we are unable to obtain funding on a timely basis or at all, we may be required to significantly curtail or stop one or more of our research or development programs.</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inflation, pandemics, political unrest and hostilities,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In July 2022, we entered into a sales agreement with Cowen and Company, LLC, or Cowen, pursuant to which we may offer and sell shares of our common stock having an aggregate offering price of up to $150 million from time to time through Cowen acting as our sales agent, or the 2022 ATM Facility. During the fiscal year ended December 31, 2023, there were no sales made under the Sales Agreement. In the first quarter of 2024, 4,084,502 shares of common stock have been issued and sold pursuant to the Sales Agreement.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180"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If we raise funds through additional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ind w:left="60" w:right="639"/>
        <w:spacing w:after="0" w:line="24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were formed in 2018 as Century Therapeutics, Inc., or Prior Century. In 2019, in connection with our investment from Bayer Prior Century contributed substantially all of its operating assets and cash to a newly formed entity, Century Therapeutics, LLC. Our business was operated through Century Therapeutics, LLC, until February 2021, at which time we converted into a Delaware C corporation. Upon completion of this conversion, Prior Century, whose only significant asset was its equity investment in Century Therapeutics, LLC, merged with the C corporation, and in connection therewith the C corporation changed its name to “Century Therapeutics, Inc.”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under Section 174 of the Code, in taxable years beginning after December 31, 2021, expenses that are incurred for research and development in the U.S. will be capitalized and amortized, which may have an adverse effect on our cash flow.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859"/>
        <w:spacing w:after="0" w:line="309" w:lineRule="auto"/>
        <w:rPr>
          <w:sz w:val="20"/>
          <w:szCs w:val="20"/>
          <w:color w:val="auto"/>
        </w:rPr>
      </w:pPr>
      <w:r>
        <w:rPr>
          <w:rFonts w:ascii="Arial" w:cs="Arial" w:eastAsia="Arial" w:hAnsi="Arial"/>
          <w:sz w:val="17"/>
          <w:szCs w:val="17"/>
          <w:b w:val="1"/>
          <w:bCs w:val="1"/>
          <w:i w:val="1"/>
          <w:iCs w:val="1"/>
          <w:color w:val="auto"/>
        </w:rPr>
        <w:t>Our Option Agreement with Bayer HealthCare LLC may require us to sell certain of our product candidates, which may limit the value we could generate from our product candidates.</w:t>
      </w:r>
    </w:p>
    <w:p>
      <w:pPr>
        <w:spacing w:after="0" w:line="1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are subject to the terms of the Option Agreement. Bayer may exercise its ROFR for up to four of the first ten Research Products for which an IND is submitted, subject to certain limitations.</w:t>
      </w:r>
    </w:p>
    <w:p>
      <w:pPr>
        <w:spacing w:after="0" w:line="18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82"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cannot assure you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including as a result of liquidity constraints, failures and instability in U.S. and international financial banking systems. If the current equity and credit markets deteriorate further, or fail to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Further, the impacts geopolitical turmoil, such as the ongoing Ukrainian War and current conflict in Israel and Gaza (including any escalation or expansion), social unrest, political instability in the United States and elsewhere, terrorism, cyberwarfare or other acts of war, could lead to disruption, instability and volatility in the global markets, which may have an adverse impact on our business or ability to access the capital markets. Broad market and industry factors, including potentially worsening economic conditions and other adverse effects, or developments relating to pandemics,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9"/>
        <w:spacing w:after="0" w:line="249"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 receivership by the Federal Deposit Insurance Corporation, or FDIC. Even 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our ability to advance our current and future product candidates through preclinical studies and clinical trials, obtain marketing approval, and ultimately commercialize them.</w:t>
      </w:r>
    </w:p>
    <w:p>
      <w:pPr>
        <w:spacing w:after="0" w:line="15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are early in our development efforts. We are currently assessing CNTY-101 in patients with relapsed or refractory CD19-positive B-cell lymphomas in our Phase 1 ELiPSE-1 clinical trial and we intend to initiate our Phase 1 CALiPSO-1 clinical trial of CNTY-101 in patients with moderate to severe SLE in the first half of 2024.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18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U.S. Food and Drug Administration, or the FDA, or certain other foreign regulatory agencies before we may commercialize our product candidates.</w:t>
      </w:r>
    </w:p>
    <w:p>
      <w:pPr>
        <w:spacing w:after="0" w:line="179"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154" w:lineRule="exact"/>
        <w:rPr>
          <w:sz w:val="20"/>
          <w:szCs w:val="20"/>
          <w:color w:val="auto"/>
        </w:rPr>
      </w:pPr>
    </w:p>
    <w:p>
      <w:pPr>
        <w:ind w:left="60" w:right="199" w:firstLine="638"/>
        <w:spacing w:after="0" w:line="253"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in accordance with Good Laboratory Practices, or GLPs;</w:t>
      </w:r>
    </w:p>
    <w:p>
      <w:pPr>
        <w:spacing w:after="0" w:line="168"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spacing w:after="0" w:line="153" w:lineRule="exact"/>
        <w:rPr>
          <w:rFonts w:ascii="Arial" w:cs="Arial" w:eastAsia="Arial" w:hAnsi="Arial"/>
          <w:sz w:val="18"/>
          <w:szCs w:val="18"/>
          <w:color w:val="auto"/>
        </w:rPr>
      </w:pPr>
    </w:p>
    <w:p>
      <w:pPr>
        <w:ind w:left="60" w:right="199" w:firstLine="638"/>
        <w:spacing w:after="0" w:line="271"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and GLPs;</w:t>
      </w:r>
    </w:p>
    <w:p>
      <w:pPr>
        <w:spacing w:after="0" w:line="153" w:lineRule="exact"/>
        <w:rPr>
          <w:rFonts w:ascii="Arial" w:cs="Arial" w:eastAsia="Arial" w:hAnsi="Arial"/>
          <w:sz w:val="18"/>
          <w:szCs w:val="18"/>
          <w:color w:val="auto"/>
        </w:rPr>
      </w:pPr>
    </w:p>
    <w:p>
      <w:pPr>
        <w:ind w:left="60" w:right="139" w:firstLine="638"/>
        <w:spacing w:after="0" w:line="253"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results from our ongoing, planned and future clinical programs that support a finding of safety and effectiveness and an acceptable risk-benefit profile of our product candidates in the intended populations;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60" w:right="999" w:firstLine="638"/>
        <w:spacing w:after="0" w:line="271"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of arrangements with CMOs for clinical supply and, where applicable, commercial manufacturing capabilities;</w:t>
      </w:r>
    </w:p>
    <w:p>
      <w:pPr>
        <w:spacing w:after="0" w:line="153" w:lineRule="exact"/>
        <w:rPr>
          <w:rFonts w:ascii="Arial" w:cs="Arial" w:eastAsia="Arial" w:hAnsi="Arial"/>
          <w:sz w:val="18"/>
          <w:szCs w:val="18"/>
          <w:color w:val="auto"/>
        </w:rPr>
      </w:pPr>
    </w:p>
    <w:p>
      <w:pPr>
        <w:ind w:left="60" w:right="739" w:firstLine="638"/>
        <w:spacing w:after="0" w:line="271"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and/or regulatory exclusivity for our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launch of our product candidates, if approved, whether alone or in collaboration</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with others;</w:t>
      </w:r>
    </w:p>
    <w:p>
      <w:pPr>
        <w:spacing w:after="0" w:line="193" w:lineRule="exact"/>
        <w:rPr>
          <w:rFonts w:ascii="Arial" w:cs="Arial" w:eastAsia="Arial" w:hAnsi="Arial"/>
          <w:sz w:val="18"/>
          <w:szCs w:val="18"/>
          <w:color w:val="auto"/>
        </w:rPr>
      </w:pPr>
    </w:p>
    <w:p>
      <w:pPr>
        <w:ind w:left="60" w:right="1139" w:firstLine="638"/>
        <w:spacing w:after="0" w:line="301" w:lineRule="auto"/>
        <w:tabs>
          <w:tab w:leader="none" w:pos="13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acceptance of the benefits and use of our product candidates, including method of administration, if and when approved, by patients, the medical community, and third-party payors;</w:t>
      </w:r>
    </w:p>
    <w:p>
      <w:pPr>
        <w:spacing w:after="0" w:line="130" w:lineRule="exact"/>
        <w:rPr>
          <w:rFonts w:ascii="Arial" w:cs="Arial" w:eastAsia="Arial" w:hAnsi="Arial"/>
          <w:sz w:val="17"/>
          <w:szCs w:val="17"/>
          <w:color w:val="auto"/>
        </w:rPr>
      </w:pPr>
    </w:p>
    <w:p>
      <w:pPr>
        <w:ind w:left="1340" w:hanging="64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99" w:firstLine="638"/>
        <w:spacing w:after="0" w:line="301" w:lineRule="auto"/>
        <w:tabs>
          <w:tab w:leader="none" w:pos="13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establishment and maintenance of healthcare coverage and adequate reimbursement and patients’ willingness to pay out-of-pocket in the absence of such coverage and adequate reimbursement;</w:t>
      </w:r>
    </w:p>
    <w:p>
      <w:pPr>
        <w:spacing w:after="0" w:line="130" w:lineRule="exact"/>
        <w:rPr>
          <w:rFonts w:ascii="Arial" w:cs="Arial" w:eastAsia="Arial" w:hAnsi="Arial"/>
          <w:sz w:val="17"/>
          <w:szCs w:val="17"/>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of a physician training system and network for administration of our product</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211" w:lineRule="exact"/>
        <w:rPr>
          <w:rFonts w:ascii="Arial" w:cs="Arial" w:eastAsia="Arial" w:hAnsi="Arial"/>
          <w:sz w:val="18"/>
          <w:szCs w:val="18"/>
          <w:color w:val="auto"/>
        </w:rPr>
      </w:pPr>
    </w:p>
    <w:p>
      <w:pPr>
        <w:ind w:left="60" w:right="379" w:firstLine="638"/>
        <w:spacing w:after="0" w:line="271" w:lineRule="auto"/>
        <w:tabs>
          <w:tab w:leader="none" w:pos="13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pacing w:after="0" w:line="15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if approved,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7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CNTY-101 and our other product candidates.</w:t>
      </w:r>
    </w:p>
    <w:p>
      <w:pPr>
        <w:spacing w:after="0" w:line="13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While we have successfully initiated the clinical development of CNTY-101 which now has a Phase 1 clinical trial ongoing, we cannot guarantee that an IND application will be cleared to proceed after submission to the FDA for any additional indications or any of our other product candidates or that CNTY-101 or our other product candidates will be allowed to complete clinical developments and approved for commercialization, on a timely basis or at all. Although certain of our employees have prior experience with clinical trials and regulatory approvals, we have not previously completed any clinical trials or submitted a BLA to the FDA, or similar regulatory approval filings to comparable foreign authorities, for any product candidate, and we cannot be certain that CNTY-101 or our other product candidates will be complete and be successful in clinical trials or receive regulatory approval. The FDA and other comparable global regulatory authorities can delay, limit, or deny development or approval of a product candidate for many reasons. Any delay in obtaining, or inability to obtain, applicable regulatory authorizations or approvals will delay or harm our ability to successfully develop and commercialize CNTY-101 or our other product candidates and materially adversely affect our business, financial condition, results of operations, and growth prospects.</w:t>
      </w:r>
    </w:p>
    <w:p>
      <w:pPr>
        <w:spacing w:after="0" w:line="180"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21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lead product candidate has only commenced evaluation in a Phase 1 clinical trial,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 candidates that a regulatory agency, such as the FDA, will consider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successfully develop, obtain approval for, and begin to commercialize any product candidates for which we receive approval, we will face difficulty in obtaining product revenue in future periods, which could result in significant harm to our financial position and adversely affect our share price.</w:t>
      </w:r>
    </w:p>
    <w:p>
      <w:pPr>
        <w:spacing w:after="0" w:line="188" w:lineRule="exact"/>
        <w:rPr>
          <w:sz w:val="20"/>
          <w:szCs w:val="20"/>
          <w:color w:val="auto"/>
        </w:rPr>
      </w:pPr>
    </w:p>
    <w:p>
      <w:pPr>
        <w:ind w:left="60" w:right="319"/>
        <w:spacing w:after="0" w:line="256" w:lineRule="auto"/>
        <w:rPr>
          <w:sz w:val="20"/>
          <w:szCs w:val="20"/>
          <w:color w:val="auto"/>
        </w:rPr>
      </w:pPr>
      <w:r>
        <w:rPr>
          <w:rFonts w:ascii="Arial" w:cs="Arial" w:eastAsia="Arial" w:hAnsi="Arial"/>
          <w:sz w:val="18"/>
          <w:szCs w:val="18"/>
          <w:b w:val="1"/>
          <w:bCs w:val="1"/>
          <w:i w:val="1"/>
          <w:iCs w:val="1"/>
          <w:color w:val="auto"/>
        </w:rPr>
        <w:t>Utilizing CAR-iNK and CAR-iT cells represents a novel approach to immuno-oncology treatment of cancer and autoimmune and inflammatory diseases, and we must overcome significant challenges in order to develop, commercialize, and manufacture our product candidates.</w:t>
      </w:r>
    </w:p>
    <w:p>
      <w:pPr>
        <w:spacing w:after="0" w:line="15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concentrated our research and development efforts on developing CAR-iNK and CAR-iT cell therapies.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and autoimmune and inflammatory cell therapies creates significant challenges for us, including:</w:t>
      </w:r>
    </w:p>
    <w:p>
      <w:pPr>
        <w:spacing w:after="0" w:line="183" w:lineRule="exact"/>
        <w:rPr>
          <w:sz w:val="20"/>
          <w:szCs w:val="20"/>
          <w:color w:val="auto"/>
        </w:rPr>
      </w:pPr>
    </w:p>
    <w:p>
      <w:pPr>
        <w:ind w:left="60" w:right="99" w:firstLine="638"/>
        <w:spacing w:after="0" w:line="271" w:lineRule="auto"/>
        <w:tabs>
          <w:tab w:leader="none" w:pos="13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and sustaining a manufacturing process to produce our cells on a large scale and in a cost-effective manner;</w:t>
      </w:r>
    </w:p>
    <w:p>
      <w:pPr>
        <w:spacing w:after="0" w:line="153" w:lineRule="exact"/>
        <w:rPr>
          <w:rFonts w:ascii="Arial" w:cs="Arial" w:eastAsia="Arial" w:hAnsi="Arial"/>
          <w:sz w:val="18"/>
          <w:szCs w:val="18"/>
          <w:color w:val="auto"/>
        </w:rPr>
      </w:pPr>
    </w:p>
    <w:p>
      <w:pPr>
        <w:ind w:left="60" w:right="259" w:firstLine="638"/>
        <w:spacing w:after="0" w:line="271" w:lineRule="auto"/>
        <w:tabs>
          <w:tab w:leader="none" w:pos="13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technical limitations of our CRISPR-MAD7 gene editing technology; and</w:t>
      </w:r>
    </w:p>
    <w:p>
      <w:pPr>
        <w:spacing w:after="0" w:line="211" w:lineRule="exact"/>
        <w:rPr>
          <w:rFonts w:ascii="Arial" w:cs="Arial" w:eastAsia="Arial" w:hAnsi="Arial"/>
          <w:sz w:val="18"/>
          <w:szCs w:val="18"/>
          <w:color w:val="auto"/>
        </w:rPr>
      </w:pPr>
    </w:p>
    <w:p>
      <w:pPr>
        <w:ind w:left="60" w:right="359" w:firstLine="638"/>
        <w:spacing w:after="0" w:line="271" w:lineRule="auto"/>
        <w:tabs>
          <w:tab w:leader="none" w:pos="13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must be able to overcome these challenges in order for us to successfully develop, commercialize, and manufacture our product candidates utilizing CAR-iNK and CAR-iT cells. In addition, although CNTY-101 and our future product candidates may differ in certain ways from other cancer immunotherapies and autoimmune and inflammatory diseases, including CD19-directed autologous CAR-T cell immunotherapies, serious adverse events, deaths or other unexpected safety issues in other companies’ clinical trials or that are discovered from post-marketing data sources involving cancer immunotherapies, more generally, even if unrelated to our product candidates, could negatively impact our business. For example, in November 2023, the FDA announced that it would be conducting an investigation into reports of T cell malignancies following BCMA-directed or CD19-directed autologous CAR-T cell immunotherapies following reports of T cell lymphoma in patients receiving these therapies. In January 2024, the FDA determined that new safety information related to T cell malignancies should be included in the labeling with boxed warning language on these malignancies for all BCMA- and CD-19-directed genetically modified autologous T cell immunotherapies. While CNTY 101 is designed to utilize a different mechanism of action, FDA’s investigation into CAR-T therapies and other similar actions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a decrease in demand for any such product candidates.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CAR-iNK cells.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it is also possible that the freezing and thawing methodologies we develop and implement will not sufficiently preserve the function of one or more of our product candidates, thereby potentially negatively impacting certain clinical results.</w:t>
      </w:r>
    </w:p>
    <w:p>
      <w:pPr>
        <w:spacing w:after="0" w:line="185" w:lineRule="exact"/>
        <w:rPr>
          <w:sz w:val="20"/>
          <w:szCs w:val="20"/>
          <w:color w:val="auto"/>
        </w:rPr>
      </w:pPr>
    </w:p>
    <w:p>
      <w:pPr>
        <w:ind w:left="60" w:right="579"/>
        <w:spacing w:after="0" w:line="256"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5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 not have as much experimental data with CRISPR-MAD7 as we do with Cpf1. We may encounter technical liabilities 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18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7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addition, the cell therapy industry is rapidly developing, and our competitors may introduce new gene-editing technologies that render our technology less attractive. As the FDA and foreign regulatory authorities begin issuing product approvals for gene-editing products, post-market adverse events or findings could adversely impact developers of gene-editing technologies or competitive pressures may force us to implement new gene-editing technologies at a substantial cost or delay in our clinical development process. In addition, regulatory requirements in the United States and in other jurisdictions governing the development of gene therapy products have changed frequently and may continue to change in the future.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119"/>
        <w:spacing w:after="0" w:line="278"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 -controlled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188"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product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99"/>
        <w:spacing w:after="0" w:line="249"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65" w:lineRule="exact"/>
        <w:rPr>
          <w:sz w:val="20"/>
          <w:szCs w:val="20"/>
          <w:color w:val="auto"/>
        </w:rPr>
      </w:pPr>
    </w:p>
    <w:p>
      <w:pPr>
        <w:jc w:val="both"/>
        <w:ind w:left="60" w:right="139"/>
        <w:spacing w:after="0" w:line="242" w:lineRule="auto"/>
        <w:rPr>
          <w:sz w:val="20"/>
          <w:szCs w:val="20"/>
          <w:color w:val="auto"/>
        </w:rPr>
      </w:pPr>
      <w:r>
        <w:rPr>
          <w:rFonts w:ascii="Arial" w:cs="Arial" w:eastAsia="Arial" w:hAnsi="Arial"/>
          <w:sz w:val="18"/>
          <w:szCs w:val="18"/>
          <w:color w:val="auto"/>
        </w:rPr>
        <w:t>All but one of our product candidates are in preclinical development and the risk of failure for all of our product candidates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current clinical trials or future clinical trials, if allowed to proceed, will ultimately be successful or support clinical development of our current or any of our future product candidates.</w:t>
      </w:r>
    </w:p>
    <w:p>
      <w:pPr>
        <w:spacing w:after="0" w:line="18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of our current clinical trials or future clinical trials that we could conduct that could delay or prevent our ability to receive marketing approval or commercialize our lead product candidates or any future product candidates, including:</w:t>
      </w:r>
    </w:p>
    <w:p>
      <w:pPr>
        <w:spacing w:after="0" w:line="174" w:lineRule="exact"/>
        <w:rPr>
          <w:sz w:val="20"/>
          <w:szCs w:val="20"/>
          <w:color w:val="auto"/>
        </w:rPr>
      </w:pPr>
    </w:p>
    <w:p>
      <w:pPr>
        <w:ind w:left="60" w:right="179" w:firstLine="638"/>
        <w:spacing w:after="0" w:line="301" w:lineRule="auto"/>
        <w:tabs>
          <w:tab w:leader="none" w:pos="13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the FDA, or ethics committees may not authorize us or our investigators to commence a clinical trial or conduct a clinical trial at a prospective trial site;</w:t>
      </w:r>
    </w:p>
    <w:p>
      <w:pPr>
        <w:spacing w:after="0" w:line="130" w:lineRule="exact"/>
        <w:rPr>
          <w:rFonts w:ascii="Arial" w:cs="Arial" w:eastAsia="Arial" w:hAnsi="Arial"/>
          <w:sz w:val="17"/>
          <w:szCs w:val="17"/>
          <w:color w:val="auto"/>
        </w:rPr>
      </w:pPr>
    </w:p>
    <w:p>
      <w:pPr>
        <w:ind w:left="60" w:right="179" w:firstLine="638"/>
        <w:spacing w:after="0" w:line="253" w:lineRule="auto"/>
        <w:tabs>
          <w:tab w:leader="none" w:pos="13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11" w:lineRule="exact"/>
        <w:rPr>
          <w:rFonts w:ascii="Arial" w:cs="Arial" w:eastAsia="Arial" w:hAnsi="Arial"/>
          <w:sz w:val="18"/>
          <w:szCs w:val="18"/>
          <w:color w:val="auto"/>
        </w:rPr>
      </w:pPr>
    </w:p>
    <w:p>
      <w:pPr>
        <w:jc w:val="both"/>
        <w:ind w:left="60" w:right="179" w:firstLine="638"/>
        <w:spacing w:after="0" w:line="253" w:lineRule="auto"/>
        <w:tabs>
          <w:tab w:leader="none" w:pos="13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firstLine="638"/>
        <w:spacing w:after="0" w:line="253"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168" w:lineRule="exact"/>
        <w:rPr>
          <w:rFonts w:ascii="Arial" w:cs="Arial" w:eastAsia="Arial" w:hAnsi="Arial"/>
          <w:sz w:val="18"/>
          <w:szCs w:val="18"/>
          <w:color w:val="auto"/>
        </w:rPr>
      </w:pPr>
    </w:p>
    <w:p>
      <w:pPr>
        <w:ind w:left="60" w:right="299" w:firstLine="638"/>
        <w:spacing w:after="0" w:line="253"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8" w:lineRule="exact"/>
        <w:rPr>
          <w:rFonts w:ascii="Arial" w:cs="Arial" w:eastAsia="Arial" w:hAnsi="Arial"/>
          <w:sz w:val="18"/>
          <w:szCs w:val="18"/>
          <w:color w:val="auto"/>
        </w:rPr>
      </w:pPr>
    </w:p>
    <w:p>
      <w:pPr>
        <w:ind w:left="60" w:right="159" w:firstLine="638"/>
        <w:spacing w:after="0" w:line="247"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173" w:lineRule="exact"/>
        <w:rPr>
          <w:rFonts w:ascii="Arial" w:cs="Arial" w:eastAsia="Arial" w:hAnsi="Arial"/>
          <w:sz w:val="18"/>
          <w:szCs w:val="18"/>
          <w:color w:val="auto"/>
        </w:rPr>
      </w:pPr>
    </w:p>
    <w:p>
      <w:pPr>
        <w:ind w:left="1340" w:hanging="642"/>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any of our product candidates may be greater than we anticipate;</w:t>
      </w:r>
    </w:p>
    <w:p>
      <w:pPr>
        <w:spacing w:after="0" w:line="211" w:lineRule="exact"/>
        <w:rPr>
          <w:rFonts w:ascii="Arial" w:cs="Arial" w:eastAsia="Arial" w:hAnsi="Arial"/>
          <w:sz w:val="18"/>
          <w:szCs w:val="18"/>
          <w:color w:val="auto"/>
        </w:rPr>
      </w:pPr>
    </w:p>
    <w:p>
      <w:pPr>
        <w:ind w:left="60" w:right="359" w:firstLine="638"/>
        <w:spacing w:after="0" w:line="271"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for use in clinical</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trials;</w:t>
      </w:r>
    </w:p>
    <w:p>
      <w:pPr>
        <w:spacing w:after="0" w:line="193" w:lineRule="exact"/>
        <w:rPr>
          <w:rFonts w:ascii="Arial" w:cs="Arial" w:eastAsia="Arial" w:hAnsi="Arial"/>
          <w:sz w:val="18"/>
          <w:szCs w:val="18"/>
          <w:color w:val="auto"/>
        </w:rPr>
      </w:pPr>
    </w:p>
    <w:p>
      <w:pPr>
        <w:ind w:left="60" w:right="259" w:firstLine="638"/>
        <w:spacing w:after="0" w:line="271"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or efficacy concerns about our product candidates;</w:t>
      </w:r>
    </w:p>
    <w:p>
      <w:pPr>
        <w:spacing w:after="0" w:line="153" w:lineRule="exact"/>
        <w:rPr>
          <w:rFonts w:ascii="Arial" w:cs="Arial" w:eastAsia="Arial" w:hAnsi="Arial"/>
          <w:sz w:val="18"/>
          <w:szCs w:val="18"/>
          <w:color w:val="auto"/>
        </w:rPr>
      </w:pPr>
    </w:p>
    <w:p>
      <w:pPr>
        <w:ind w:left="60" w:right="159" w:firstLine="638"/>
        <w:spacing w:after="0" w:line="253"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168" w:lineRule="exact"/>
        <w:rPr>
          <w:rFonts w:ascii="Arial" w:cs="Arial" w:eastAsia="Arial" w:hAnsi="Arial"/>
          <w:sz w:val="18"/>
          <w:szCs w:val="18"/>
          <w:color w:val="auto"/>
        </w:rPr>
      </w:pPr>
    </w:p>
    <w:p>
      <w:pPr>
        <w:ind w:left="60" w:right="79" w:firstLine="638"/>
        <w:spacing w:after="0" w:line="301" w:lineRule="auto"/>
        <w:tabs>
          <w:tab w:leader="none" w:pos="13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applicable foreign regulatory agencies may require us to submit additional data such as long-term toxicology studies, or impose other requirements before permitting us to initiate a clinical trial.</w:t>
      </w:r>
    </w:p>
    <w:p>
      <w:pPr>
        <w:spacing w:after="0" w:line="13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patients’ perceptions as to the potential advantages of the product candidate being studied in relation to other available therapies, including any new drugs or therapeutic biologics that may be approved for the indications being investigated by us, and other factors, such as the COVID-19 pandemic, or future pandemics, over which we have no control. Furthermore, we are relying and expect to continue to rely on our collaborators, CROs, and clinical trial sites to ensure the proper and timely conduct of our current and future clinical trials, including the patient enrollment process, and we have limited influence over their performance. Additionally, we could encounter delays if treating physicians encounter unresolved ethical issues associated with enrolling patients in our current and future clinical trials of our product candidates in lieu of prescribing existing treatments that have established safety and efficacy profiles.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7" w:lineRule="exact"/>
        <w:rPr>
          <w:sz w:val="20"/>
          <w:szCs w:val="20"/>
          <w:color w:val="auto"/>
        </w:rPr>
      </w:pPr>
    </w:p>
    <w:p>
      <w:pPr>
        <w:ind w:left="60" w:right="219"/>
        <w:spacing w:after="0" w:line="249" w:lineRule="auto"/>
        <w:rPr>
          <w:sz w:val="20"/>
          <w:szCs w:val="20"/>
          <w:color w:val="auto"/>
        </w:rPr>
      </w:pPr>
      <w:r>
        <w:rPr>
          <w:rFonts w:ascii="Arial" w:cs="Arial" w:eastAsia="Arial" w:hAnsi="Arial"/>
          <w:sz w:val="18"/>
          <w:szCs w:val="18"/>
          <w:b w:val="1"/>
          <w:bCs w:val="1"/>
          <w:i w:val="1"/>
          <w:iCs w:val="1"/>
          <w:color w:val="auto"/>
        </w:rPr>
        <w:t>As an organization, we have limited experience designing and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design and implementation of clinical trials is a complex process. While the employees who will implement our clinical trials have experience in the field, we, as an organization, have only recently initiated our first clinical trial. We have limited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59"/>
        <w:spacing w:after="0" w:line="256"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7"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Beyond CNTY-101, we may not be able to file our INDs to commence clinical trials on the timelines we expect, and even if we are able to, the FDA may not permit us to proceed.</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expect our pipeline to yield multiple additional INDs, including INDs for CNTY-102, CNTY-104, CNTY-106 and CNTY-107 product candidates from our iPSC-derived allogeneic cell therapy platforms. We cannot be sure that submission of an IND will result in the FDA allowing testing and clinical trials to begin, or that, once begun, issues will not arise that result in suspension or termination of such clinical trials. The manufacturing of our product candidates remains an emerging and evolving field. Accordingly, we expect chemistry, manufacturing and control related topics, including product specifications, will be a focus of IND reviews, and unfavorable findings may delay or prevent the FDA from allowing us to proceed with clinical trials.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7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focus on the development of programmed cellular immunotherapies for patients with cancer and autoimmune and inflammatory diseases,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88"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Patients we intend to treat with our product candidates may also receive chemotherapy agents, radiation, chronic immunosuppressants, biologics/monoclonal antibodies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if approved. Any inability to advance our existing product candidates or any other product candidate through clinical development would have a material adverse effect on our business.</w:t>
      </w:r>
    </w:p>
    <w:p>
      <w:pPr>
        <w:spacing w:after="0" w:line="188" w:lineRule="exact"/>
        <w:rPr>
          <w:sz w:val="20"/>
          <w:szCs w:val="20"/>
          <w:color w:val="auto"/>
        </w:rPr>
      </w:pPr>
    </w:p>
    <w:p>
      <w:pPr>
        <w:ind w:left="60" w:right="419"/>
        <w:spacing w:after="0" w:line="309" w:lineRule="auto"/>
        <w:rPr>
          <w:sz w:val="20"/>
          <w:szCs w:val="20"/>
          <w:color w:val="auto"/>
        </w:rPr>
      </w:pPr>
      <w:r>
        <w:rPr>
          <w:rFonts w:ascii="Arial" w:cs="Arial" w:eastAsia="Arial" w:hAnsi="Arial"/>
          <w:sz w:val="17"/>
          <w:szCs w:val="17"/>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181"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7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been collecting data about CNTY-101 in preclinical studies and our Phase 1 ELiPSE-1 clinical trial. We began dosing patients in February 2023 in our ELiPSE-1 clinical trial. As of December 2023, we have reported results for 7 R/R lymphoma patients dosed with 100 million and 300 million cells of CNTY-101, the lowest two dose levels in the ELiPSE-1 study. While to date CNTY-101 is well tolerated, the information regarding the side effect profile of CNTY-101 and other future products in humans is limited.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189"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169" w:lineRule="exact"/>
        <w:rPr>
          <w:sz w:val="20"/>
          <w:szCs w:val="20"/>
          <w:color w:val="auto"/>
        </w:rPr>
      </w:pPr>
    </w:p>
    <w:p>
      <w:pPr>
        <w:ind w:left="60" w:right="399" w:firstLine="638"/>
        <w:spacing w:after="0" w:line="271"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53"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8"/>
          <w:szCs w:val="18"/>
          <w:color w:val="auto"/>
        </w:rPr>
      </w:pPr>
    </w:p>
    <w:p>
      <w:pPr>
        <w:ind w:left="60" w:right="559" w:firstLine="638"/>
        <w:spacing w:after="0" w:line="271"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pacing w:after="0" w:line="211"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and/or held liable for injury caused to individuals exposed to or taking our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the public perception of the safety of CNTY-101 or our other product candidates;</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59"/>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if approved, and generate revenues, all of which would materially adversely affect our business, financial condition, and results of operations.</w:t>
      </w:r>
    </w:p>
    <w:p>
      <w:pPr>
        <w:spacing w:after="0" w:line="15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although CNTY-101 and our future product candidates may differ in certain ways from other cancer immunotherapies and autoimmune and inflammatory diseases, including CD19-directed autologous CAR-T cell immunotherapies, serious adverse events, deaths or other unexpected safety issues in other companies’ clinical trials or that are discovered from post-marketing data sources involving cancer immunotherapies, more generally, even if unrelated to our product candidates, could negatively impact our business. For example, in November 2023, the FDA announced that it would be conducting an investigation into reports of T cell malignancies following BCMA-directed or CD19-directed autologous CAR-T cell immunotherapies following reports of T cell lymphoma in patients receiving these therapies. While CNTY-101 is designed to utilize a different mechanism of action, FDA’s investigation into CAR-T therapies and other similar actions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a decrease in demand for any such product candidates.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79"/>
        <w:spacing w:after="0" w:line="249"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or immune-related disorders, or negative clinical trial results from our cell-based therapy competitors, may impact public perception of our company and product candidates, or impair our ability to conduct our business.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85" w:lineRule="exact"/>
        <w:rPr>
          <w:sz w:val="20"/>
          <w:szCs w:val="20"/>
          <w:color w:val="auto"/>
        </w:rPr>
      </w:pPr>
    </w:p>
    <w:p>
      <w:pPr>
        <w:ind w:left="60" w:right="1079"/>
        <w:spacing w:after="0" w:line="278"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 candidates, if approved, may be delayed.</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and BLA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clinical trials that we conduct that could delay or prevent our ability to receive marketing approval or commercialize our product candidates.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6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18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7"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w:t>
      </w:r>
    </w:p>
    <w:p>
      <w:pPr>
        <w:spacing w:after="0" w:line="183"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If a prolonged government shutdown occurs,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899"/>
        <w:spacing w:after="0" w:line="27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clinical trials for our product candidates.</w:t>
      </w:r>
    </w:p>
    <w:p>
      <w:pPr>
        <w:spacing w:after="0" w:line="13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preclinical studies and clinical trials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18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studies and clinical trials is conducted in accordance with the general investigational plan and protocols for such trial. We must also ensure that our preclinical studies and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studies and clinical trials may be deemed unreliable and the FDA, or comparable foreign regulatory authorities may require us to perform additional studies.</w:t>
      </w:r>
    </w:p>
    <w:p>
      <w:pPr>
        <w:spacing w:after="0" w:line="18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16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17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clinical trials in accordance with regulatory requirements or our stated protocols, if these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parties are adversely impacted by macroeconomic or other factors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studies and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18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78"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174"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We are party to a Collaboration Agreement with Bristol-Myers Squibb, and pursuant to the terms of that agreement, could become dependent on Bristol-Myers Squibb for development and commercialization activities with respect to certain of our product candidates.</w:t>
      </w:r>
    </w:p>
    <w:p>
      <w:pPr>
        <w:spacing w:after="0" w:line="15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are party to a Research, Collaboration and License Agreement with Bristol-Myers Squibb, or the Collaboration Agreement, pursuant to which we agreed to collaborate on the research, development and commercialization of iNK and iT cell programs for hematologic malignancies and solid tumors. Pursuant to the Collaboration Agreement, Bristol-Myers Squibb will initially collaborate with us on two collaboration programs and has the option to add up to two additional collaboration programs, for an additional fee. We are responsible for generating development candidates for the collaboration programs with Bristol-Myers Squibb. Once a development candidate meets certain criteria, Bristol-Myers Squibb has the option to exclusively license the development candidates for pre-clinical development, clinical development and commercialization on a worldwide basis. Upon the exercise by Bristol-Myers Squibb of its option for a development candidate, Bristol-Myers Squibb will be responsible for all regulatory, clinical, manufacturing (after a proof of concept clinical trial) and commercialization activities with respect to that development candidate, subject to the terms of the Collaboration Agreement. Bristol-Myers Squibb may elect not to exercise its option and we may not obtain all the intellectual property rights required to develop the product candidates on our own. We cannot control whether Bristol-Myers Squibb will devote sufficient attention or resources to this collaboration or will proceed in an expeditious manner. Even if the FDA or other regulatory agencies approve any of the licensed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product candidates, Bristol-Myers Squibb may elect not to proceed with the commercialization of the resulting product in one or more countries.</w:t>
      </w:r>
    </w:p>
    <w:p>
      <w:pPr>
        <w:spacing w:after="0" w:line="15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Under the Collaboration Agreement, Bristol-Myers Squibb paid us an upfront payment of $100 million. In addition to the upfront payment, we may receive development and regulatory milestone payments of up to an additional $235 million. We will also be eligible to receive up to an additional $500 million in payments upon the achievement of certain sales milestones. We will also be entitled to receive, subject to certain reductions, tiered royalties ranging from high-single digits up to low-teens as percentages net sales, if any, on any licensed product generated pursuant to the Collaboration Agreement. The milestones that trigger a payment or royalties under the Collaboration Agreement may never be reached and failure to do so could harm our business and financial condition.</w:t>
      </w:r>
    </w:p>
    <w:p>
      <w:pPr>
        <w:spacing w:after="0" w:line="18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Bristol-Myers Squibb has customary rights to terminate the Collaboration Agreement and if Bristol-Myers Squibb terminates the Collaboration Agreement, it will result in a delay in or could prevent us from developing or commercializing the product candidates subject to the Collaboration Agreement. Further, disputes may arise between us and Bristol-Myers Squibb, which may delay or cause the termination of this collaboration, result in significant litigation, cause Bristol-Myers Squibb to act in a manner that is not in our best interest or cause us to seek another collaborator or proceed with development, commercialization and funding on our own. If we seek a new collaborator but are unable to do so on acceptable terms, or at all, or do not have sufficient funds to conduct the development or commercialization of such development candidates we may have to curtail or abandon that development or commercialization, which could harm our business.</w:t>
      </w:r>
    </w:p>
    <w:p>
      <w:pPr>
        <w:spacing w:after="0" w:line="185"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59"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Our business strategy includes leveraging our strategic partnership with Bristol-Myers Squibb and FUJIFILM Cellular Dynamics Inc., or FCDI, and may include additional future partnerships for product development, product commercialization, manufacturing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168"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174" w:lineRule="exact"/>
        <w:rPr>
          <w:sz w:val="20"/>
          <w:szCs w:val="20"/>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expenditure of substantial operational, financial and management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dilutive issuances of our securities;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actual or contingent liabilities; and</w:t>
      </w:r>
    </w:p>
    <w:p>
      <w:pPr>
        <w:spacing w:after="0" w:line="211" w:lineRule="exact"/>
        <w:rPr>
          <w:rFonts w:ascii="Arial" w:cs="Arial" w:eastAsia="Arial" w:hAnsi="Arial"/>
          <w:sz w:val="18"/>
          <w:szCs w:val="18"/>
          <w:color w:val="auto"/>
        </w:rPr>
      </w:pPr>
    </w:p>
    <w:p>
      <w:pPr>
        <w:ind w:left="60" w:right="499" w:firstLine="638"/>
        <w:spacing w:after="0" w:line="271" w:lineRule="auto"/>
        <w:tabs>
          <w:tab w:leader="none" w:pos="13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154" w:lineRule="exact"/>
        <w:rPr>
          <w:sz w:val="20"/>
          <w:szCs w:val="20"/>
          <w:color w:val="auto"/>
        </w:rPr>
      </w:pPr>
    </w:p>
    <w:p>
      <w:pPr>
        <w:ind w:left="60" w:right="379"/>
        <w:spacing w:after="0" w:line="242"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7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8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85" w:lineRule="exact"/>
        <w:rPr>
          <w:sz w:val="20"/>
          <w:szCs w:val="20"/>
          <w:color w:val="auto"/>
        </w:rPr>
      </w:pPr>
    </w:p>
    <w:p>
      <w:pPr>
        <w:ind w:left="60" w:right="119"/>
        <w:spacing w:after="0" w:line="245" w:lineRule="auto"/>
        <w:rPr>
          <w:sz w:val="20"/>
          <w:szCs w:val="20"/>
          <w:color w:val="auto"/>
        </w:rPr>
      </w:pPr>
      <w:r>
        <w:rPr>
          <w:rFonts w:ascii="Arial" w:cs="Arial" w:eastAsia="Arial" w:hAnsi="Arial"/>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17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lingering effects of the COVID-19 pandemic and other macroeconomic factors, the business and operations of our suppliers may be disrupted or delayed, and we in turn may experience disruptions or delays in our supply chain. An inability to continue to source product from any of these suppliers, which could be due to the impacts of global pandemics, macroeconomic factors, recent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2" w:lineRule="exact"/>
        <w:rPr>
          <w:sz w:val="20"/>
          <w:szCs w:val="20"/>
          <w:color w:val="auto"/>
        </w:rPr>
      </w:pPr>
    </w:p>
    <w:p>
      <w:pPr>
        <w:ind w:left="60" w:right="59"/>
        <w:spacing w:after="0" w:line="256" w:lineRule="auto"/>
        <w:rPr>
          <w:sz w:val="20"/>
          <w:szCs w:val="20"/>
          <w:color w:val="auto"/>
        </w:rPr>
      </w:pPr>
      <w:r>
        <w:rPr>
          <w:rFonts w:ascii="Arial" w:cs="Arial" w:eastAsia="Arial" w:hAnsi="Arial"/>
          <w:sz w:val="18"/>
          <w:szCs w:val="18"/>
          <w:b w:val="1"/>
          <w:bCs w:val="1"/>
          <w:i w:val="1"/>
          <w:iCs w:val="1"/>
          <w:color w:val="auto"/>
        </w:rPr>
        <w:t>We rely on third parties for the manufacture of some of our product candidates for development, and we are beginning to operate our own manufacturing facility for the production of certain of our product candidates.</w:t>
      </w:r>
    </w:p>
    <w:p>
      <w:pPr>
        <w:spacing w:after="0" w:line="15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are now operating our own manufacturing facilities but still rely on FCDI for the manufacture of some of our product candidates and CMOs for the manufacture of related raw materials for clinical and preclinical development. It is uncertain whether we will be able to utilize our own manufacturing facilities for commercial manufacturing of our products and therefore, we may need to rely on third parties for commercial manufacturing if any of our product candidates receive marketing approval. We have partnered with FCDI for the manufacture and supply of some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could be delayed and our business, financial condition, results of operations, and prospects may be materially harmed. We completed construction of our own 53,000 square foot cGMP manufacturing facility in Branchburg, New Jersey as well as the fit-out and qualifications for the facility in 2022 and the facility is operational. However, we are only beginning to gain operational experience in the facility and there can be no assurance that we will be able to reliably manufacture our product candidates in this facility in a timely manner, or at all.</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88"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Our or a CMO’s failure to execute on our manufacturing requirements, to do so on commercially reasonable terms and comply with cGMP could adversely affect our business in a number of ways, including:</w:t>
      </w:r>
    </w:p>
    <w:p>
      <w:pPr>
        <w:spacing w:after="0" w:line="131" w:lineRule="exact"/>
        <w:rPr>
          <w:sz w:val="20"/>
          <w:szCs w:val="20"/>
          <w:color w:val="auto"/>
        </w:rPr>
      </w:pPr>
    </w:p>
    <w:p>
      <w:pPr>
        <w:ind w:left="60" w:right="459" w:firstLine="638"/>
        <w:spacing w:after="0" w:line="271" w:lineRule="auto"/>
        <w:tabs>
          <w:tab w:leader="none" w:pos="13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CNTY-101 or our other product candidates under development;</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99" w:firstLine="638"/>
        <w:spacing w:after="0" w:line="271"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11" w:lineRule="exact"/>
        <w:rPr>
          <w:rFonts w:ascii="Arial" w:cs="Arial" w:eastAsia="Arial" w:hAnsi="Arial"/>
          <w:sz w:val="18"/>
          <w:szCs w:val="18"/>
          <w:color w:val="auto"/>
        </w:rPr>
      </w:pPr>
    </w:p>
    <w:p>
      <w:pPr>
        <w:jc w:val="both"/>
        <w:ind w:left="60" w:right="939" w:firstLine="638"/>
        <w:spacing w:after="0" w:line="301" w:lineRule="auto"/>
        <w:tabs>
          <w:tab w:leader="none" w:pos="13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CNTY-101 or our other product candidates, an inability to meet commercial demands for CNTY-101 or our other product candidates.</w:t>
      </w:r>
    </w:p>
    <w:p>
      <w:pPr>
        <w:spacing w:after="0" w:line="131"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or if our own cGMP manufacturing facility in Branchburg, New Jersey does not operate as expected, we may be required to replace such manufacturers and we may be unable to replace them on a timely basis or at all.</w:t>
      </w:r>
    </w:p>
    <w:p>
      <w:pPr>
        <w:spacing w:after="0" w:line="1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71"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3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will allow us to supply certain of our product candidates needed for our early-stage clinical trials and preclinical studies. The operation and maintenance, and regulatory approvals for such facilities, require substantial capital and technical expertise and any delay could limit our development activities and our opportunities for growth, or negatively impact our financial results.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may encounter problems with the following:</w:t>
      </w:r>
    </w:p>
    <w:p>
      <w:pPr>
        <w:spacing w:after="0" w:line="212" w:lineRule="exact"/>
        <w:rPr>
          <w:sz w:val="20"/>
          <w:szCs w:val="20"/>
          <w:color w:val="auto"/>
        </w:rPr>
      </w:pPr>
    </w:p>
    <w:p>
      <w:pPr>
        <w:ind w:left="60" w:right="559" w:firstLine="638"/>
        <w:spacing w:after="0" w:line="271"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153" w:lineRule="exact"/>
        <w:rPr>
          <w:rFonts w:ascii="Arial" w:cs="Arial" w:eastAsia="Arial" w:hAnsi="Arial"/>
          <w:sz w:val="18"/>
          <w:szCs w:val="18"/>
          <w:color w:val="auto"/>
        </w:rPr>
      </w:pPr>
    </w:p>
    <w:p>
      <w:pPr>
        <w:ind w:left="60" w:right="679" w:firstLine="638"/>
        <w:spacing w:after="0" w:line="271"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facility;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67" w:lineRule="exact"/>
        <w:rPr>
          <w:sz w:val="20"/>
          <w:szCs w:val="20"/>
          <w:color w:val="auto"/>
        </w:rPr>
      </w:pPr>
    </w:p>
    <w:p>
      <w:pPr>
        <w:ind w:left="60" w:right="799"/>
        <w:spacing w:after="0" w:line="278" w:lineRule="auto"/>
        <w:rPr>
          <w:sz w:val="20"/>
          <w:szCs w:val="20"/>
          <w:color w:val="auto"/>
        </w:rPr>
      </w:pPr>
      <w:r>
        <w:rPr>
          <w:rFonts w:ascii="Arial" w:cs="Arial" w:eastAsia="Arial" w:hAnsi="Arial"/>
          <w:sz w:val="18"/>
          <w:szCs w:val="18"/>
          <w:b w:val="1"/>
          <w:bCs w:val="1"/>
          <w:i w:val="1"/>
          <w:iCs w:val="1"/>
          <w:color w:val="auto"/>
        </w:rPr>
        <w:t>We cryogenically store our CAR-iNK and CAR-iT cells and master and working cell banks of the engineered iPSC cells at both our own manufacturing facility and at third party facilities</w:t>
      </w:r>
    </w:p>
    <w:p>
      <w:pPr>
        <w:spacing w:after="0" w:line="13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CAR-iNK and CAR-iT cells and the master and working cell banks of the engineered iPSC cells are stored in freezers at both third-party biorepositories and in our freezers at our manufacturing facility. If these materials are damaged at either or both our or these third party facilities, including by the loss or malfunction of these freezers or our back-up power systems, as well as by damage from fire, power loss or other natural disasters, we may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5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69" w:lineRule="exact"/>
        <w:rPr>
          <w:sz w:val="20"/>
          <w:szCs w:val="20"/>
          <w:color w:val="auto"/>
        </w:rPr>
      </w:pPr>
    </w:p>
    <w:p>
      <w:pPr>
        <w:ind w:left="1340" w:hanging="642"/>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whether alone or in collaboration with</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others;</w:t>
      </w:r>
    </w:p>
    <w:p>
      <w:pPr>
        <w:spacing w:after="0" w:line="194" w:lineRule="exact"/>
        <w:rPr>
          <w:sz w:val="20"/>
          <w:szCs w:val="20"/>
          <w:color w:val="auto"/>
        </w:rPr>
      </w:pPr>
    </w:p>
    <w:p>
      <w:pPr>
        <w:ind w:left="60" w:right="559" w:firstLine="638"/>
        <w:spacing w:after="0" w:line="253"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creating market demand for our product candidates through marketing, sales, and promotion</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activities;</w:t>
      </w:r>
    </w:p>
    <w:p>
      <w:pPr>
        <w:spacing w:after="0" w:line="193" w:lineRule="exact"/>
        <w:rPr>
          <w:rFonts w:ascii="Arial" w:cs="Arial" w:eastAsia="Arial" w:hAnsi="Arial"/>
          <w:sz w:val="18"/>
          <w:szCs w:val="18"/>
          <w:color w:val="auto"/>
        </w:rPr>
      </w:pPr>
    </w:p>
    <w:p>
      <w:pPr>
        <w:ind w:left="60" w:right="359" w:firstLine="638"/>
        <w:spacing w:after="0" w:line="271"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hiring, training, and deploying a sales force or contracting with third parties to commercialize our product candidates;</w:t>
      </w:r>
    </w:p>
    <w:p>
      <w:pPr>
        <w:spacing w:after="0" w:line="153" w:lineRule="exact"/>
        <w:rPr>
          <w:rFonts w:ascii="Arial" w:cs="Arial" w:eastAsia="Arial" w:hAnsi="Arial"/>
          <w:sz w:val="18"/>
          <w:szCs w:val="18"/>
          <w:color w:val="auto"/>
        </w:rPr>
      </w:pPr>
    </w:p>
    <w:p>
      <w:pPr>
        <w:ind w:left="60" w:right="619" w:firstLine="638"/>
        <w:spacing w:after="0" w:line="301" w:lineRule="auto"/>
        <w:tabs>
          <w:tab w:leader="none" w:pos="13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manufacturing, either on our own or through third parties, product candidates in sufficient quantities and at acceptable quality and cost to meet commercial demand at launch and thereafter;</w:t>
      </w:r>
    </w:p>
    <w:p>
      <w:pPr>
        <w:spacing w:after="0" w:line="130" w:lineRule="exact"/>
        <w:rPr>
          <w:rFonts w:ascii="Arial" w:cs="Arial" w:eastAsia="Arial" w:hAnsi="Arial"/>
          <w:sz w:val="17"/>
          <w:szCs w:val="17"/>
          <w:color w:val="auto"/>
        </w:rPr>
      </w:pPr>
    </w:p>
    <w:p>
      <w:pPr>
        <w:ind w:left="60" w:right="219" w:firstLine="638"/>
        <w:spacing w:after="0" w:line="271"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spacing w:after="0" w:line="153" w:lineRule="exact"/>
        <w:rPr>
          <w:rFonts w:ascii="Arial" w:cs="Arial" w:eastAsia="Arial" w:hAnsi="Arial"/>
          <w:sz w:val="18"/>
          <w:szCs w:val="18"/>
          <w:color w:val="auto"/>
        </w:rPr>
      </w:pPr>
    </w:p>
    <w:p>
      <w:pPr>
        <w:ind w:left="60" w:right="539" w:firstLine="638"/>
        <w:spacing w:after="0" w:line="271"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spacing w:after="0" w:line="153" w:lineRule="exact"/>
        <w:rPr>
          <w:rFonts w:ascii="Arial" w:cs="Arial" w:eastAsia="Arial" w:hAnsi="Arial"/>
          <w:sz w:val="18"/>
          <w:szCs w:val="18"/>
          <w:color w:val="auto"/>
        </w:rPr>
      </w:pPr>
    </w:p>
    <w:p>
      <w:pPr>
        <w:ind w:left="60" w:right="759" w:firstLine="638"/>
        <w:spacing w:after="0" w:line="271"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59" w:firstLine="638"/>
        <w:spacing w:after="0" w:line="271" w:lineRule="auto"/>
        <w:tabs>
          <w:tab w:leader="none" w:pos="1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achieving appropriate reimbursement for our product candidates, if approved;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an acceptable tolerability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56" w:lineRule="exact"/>
        <w:rPr>
          <w:sz w:val="20"/>
          <w:szCs w:val="20"/>
          <w:color w:val="auto"/>
        </w:rPr>
      </w:pPr>
    </w:p>
    <w:p>
      <w:pPr>
        <w:ind w:left="60" w:right="27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5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and autoimmune and inflammatory diseases. In addition, because reprogramming technology and gene editing technology are available on a non-exclusive basis, the number of companies developing iPSC-derived products and products using gene editing technology is expected to increase, which will 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Large pharmaceutical companies that have commercialized or are developing immunotherapies to treat cancer include AstraZeneca, Bristol-Myers Squibb, Gilead Sciences, Merck, Novartis, Pfizer, and Roche/Genentech. Companies that compete with us directly on the level of the development of product candidates targeting B-cell lymphomas include Gilead Sciences, Novartis, Roche, Genmab, Abbvie and Bristol-Myers Squibb, among others. On the technology level, other emerging biopharmaceutical companies which can potentially develop competing cell therapy candidates to treat cancer include Fate Therapeutics, Allogene Therapeutics, CRIPSR Therapeutics, Caribou Biosciences, Shoreline Biosciences, Sana Biotechnology and Nkarta Therapeutics.</w:t>
      </w:r>
    </w:p>
    <w:p>
      <w:pPr>
        <w:spacing w:after="0" w:line="16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91" w:lineRule="exact"/>
        <w:rPr>
          <w:sz w:val="20"/>
          <w:szCs w:val="20"/>
          <w:color w:val="auto"/>
        </w:rPr>
      </w:pPr>
    </w:p>
    <w:p>
      <w:pPr>
        <w:ind w:left="60" w:right="359"/>
        <w:spacing w:after="0" w:line="278"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and for which we may receive approval.</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2"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159" w:lineRule="exact"/>
        <w:rPr>
          <w:sz w:val="20"/>
          <w:szCs w:val="20"/>
          <w:color w:val="auto"/>
        </w:rPr>
      </w:pPr>
    </w:p>
    <w:p>
      <w:pPr>
        <w:ind w:left="60" w:right="359"/>
        <w:spacing w:after="0" w:line="266" w:lineRule="auto"/>
        <w:rPr>
          <w:sz w:val="20"/>
          <w:szCs w:val="20"/>
          <w:color w:val="auto"/>
        </w:rPr>
      </w:pPr>
      <w:r>
        <w:rPr>
          <w:rFonts w:ascii="Arial" w:cs="Arial" w:eastAsia="Arial" w:hAnsi="Arial"/>
          <w:sz w:val="17"/>
          <w:szCs w:val="17"/>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if approved. Even if coverage is provided, the approved reimbursement amount may not be sufficient to allow us to establish or maintain pricing to generate income. For additional information on coverage and reimbursement, see the section entitled “Business—Government Regulation—Healthcare Reform.”</w:t>
      </w:r>
    </w:p>
    <w:p>
      <w:pPr>
        <w:spacing w:after="0" w:line="18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 candidates, if approved,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Even if we obtain regulatory and marketing approval for a product candidate, our product candidates will remain subject to regulatory oversight.</w:t>
      </w:r>
    </w:p>
    <w:p>
      <w:pPr>
        <w:spacing w:after="0" w:line="15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4"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promotion, marketing or labeling of that product, a regulatory authority may impose restrictions relative to that product, the manufacturing facility or us, including requiring recall or withdrawal of the product from the market or suspension of manufacturing.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we or our contractors fail to comply with applicable regulatory requirements following approval, if granted,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CNTY-101 or our other product candidates, a regulatory authority may:</w:t>
      </w:r>
    </w:p>
    <w:p>
      <w:pPr>
        <w:spacing w:after="0" w:line="194" w:lineRule="exact"/>
        <w:rPr>
          <w:sz w:val="20"/>
          <w:szCs w:val="20"/>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a warning letter, untitled letter, or Form 483, asserting that we are in violation of the law;</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11" w:lineRule="exact"/>
        <w:rPr>
          <w:rFonts w:ascii="Arial" w:cs="Arial" w:eastAsia="Arial" w:hAnsi="Arial"/>
          <w:sz w:val="18"/>
          <w:szCs w:val="18"/>
          <w:color w:val="auto"/>
        </w:rPr>
      </w:pPr>
    </w:p>
    <w:p>
      <w:pPr>
        <w:ind w:left="60" w:right="879" w:firstLine="638"/>
        <w:spacing w:after="0" w:line="271" w:lineRule="auto"/>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if approved, and adversely affect our business, financial condition, results of operations, and prospects.</w:t>
      </w:r>
    </w:p>
    <w:p>
      <w:pPr>
        <w:spacing w:after="0" w:line="176" w:lineRule="exact"/>
        <w:rPr>
          <w:sz w:val="20"/>
          <w:szCs w:val="20"/>
          <w:color w:val="auto"/>
        </w:rPr>
      </w:pPr>
    </w:p>
    <w:p>
      <w:pPr>
        <w:ind w:left="60" w:right="679"/>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we may not achieve broad market acceptance.</w:t>
      </w:r>
    </w:p>
    <w:p>
      <w:pPr>
        <w:spacing w:after="0" w:line="13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176" w:lineRule="exact"/>
        <w:rPr>
          <w:sz w:val="20"/>
          <w:szCs w:val="20"/>
          <w:color w:val="auto"/>
        </w:rPr>
      </w:pPr>
    </w:p>
    <w:p>
      <w:pPr>
        <w:ind w:left="1340" w:hanging="642"/>
        <w:spacing w:after="0"/>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prevalence and severity of any adverse side effects associated with our product candidates;</w:t>
      </w:r>
    </w:p>
    <w:p>
      <w:pPr>
        <w:spacing w:after="0" w:line="223" w:lineRule="exact"/>
        <w:rPr>
          <w:rFonts w:ascii="Arial" w:cs="Arial" w:eastAsia="Arial" w:hAnsi="Arial"/>
          <w:sz w:val="17"/>
          <w:szCs w:val="17"/>
          <w:color w:val="auto"/>
        </w:rPr>
      </w:pPr>
    </w:p>
    <w:p>
      <w:pPr>
        <w:ind w:left="60" w:right="419" w:firstLine="638"/>
        <w:spacing w:after="0" w:line="271" w:lineRule="auto"/>
        <w:tabs>
          <w:tab w:leader="none" w:pos="13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firstLine="638"/>
        <w:spacing w:after="0" w:line="271"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spacing w:after="0" w:line="153" w:lineRule="exact"/>
        <w:rPr>
          <w:rFonts w:ascii="Arial" w:cs="Arial" w:eastAsia="Arial" w:hAnsi="Arial"/>
          <w:sz w:val="18"/>
          <w:szCs w:val="18"/>
          <w:color w:val="auto"/>
        </w:rPr>
      </w:pPr>
    </w:p>
    <w:p>
      <w:pPr>
        <w:ind w:left="60" w:right="759" w:firstLine="638"/>
        <w:spacing w:after="0" w:line="271"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53" w:lineRule="exact"/>
        <w:rPr>
          <w:rFonts w:ascii="Arial" w:cs="Arial" w:eastAsia="Arial" w:hAnsi="Arial"/>
          <w:sz w:val="18"/>
          <w:szCs w:val="18"/>
          <w:color w:val="auto"/>
        </w:rPr>
      </w:pPr>
    </w:p>
    <w:p>
      <w:pPr>
        <w:ind w:left="60" w:right="899" w:firstLine="638"/>
        <w:spacing w:after="0" w:line="271"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pricing;</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any future changes to the United States healthcare system;</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 and</w:t>
      </w:r>
    </w:p>
    <w:p>
      <w:pPr>
        <w:spacing w:after="0" w:line="211" w:lineRule="exact"/>
        <w:rPr>
          <w:rFonts w:ascii="Arial" w:cs="Arial" w:eastAsia="Arial" w:hAnsi="Arial"/>
          <w:sz w:val="18"/>
          <w:szCs w:val="18"/>
          <w:color w:val="auto"/>
        </w:rPr>
      </w:pPr>
    </w:p>
    <w:p>
      <w:pPr>
        <w:jc w:val="both"/>
        <w:ind w:left="60" w:right="199" w:firstLine="638"/>
        <w:spacing w:after="0" w:line="253"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69"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68"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5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90" w:lineRule="exact"/>
        <w:rPr>
          <w:sz w:val="20"/>
          <w:szCs w:val="20"/>
          <w:color w:val="auto"/>
        </w:rPr>
      </w:pPr>
    </w:p>
    <w:p>
      <w:pPr>
        <w:ind w:left="60" w:right="99"/>
        <w:spacing w:after="0" w:line="309" w:lineRule="auto"/>
        <w:rPr>
          <w:sz w:val="20"/>
          <w:szCs w:val="20"/>
          <w:color w:val="auto"/>
        </w:rPr>
      </w:pPr>
      <w:r>
        <w:rPr>
          <w:rFonts w:ascii="Arial" w:cs="Arial" w:eastAsia="Arial" w:hAnsi="Arial"/>
          <w:sz w:val="17"/>
          <w:szCs w:val="17"/>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1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currently do not have a commercial infrastructure for the marketing, sale, and distribution of CNTY-101, or our other product candidates. If CNTY-101 or our other product candidates receive marketing approval, we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18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8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8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CNTY-101 or our other product candidates, if approved, in the United States or elsewhere, which could limit our ability to generate product revenues and materially harm our business, financial condition, results of operations, and prospects.</w:t>
      </w:r>
    </w:p>
    <w:p>
      <w:pPr>
        <w:spacing w:after="0" w:line="176" w:lineRule="exact"/>
        <w:rPr>
          <w:sz w:val="20"/>
          <w:szCs w:val="20"/>
          <w:color w:val="auto"/>
        </w:rPr>
      </w:pPr>
    </w:p>
    <w:p>
      <w:pPr>
        <w:ind w:left="60" w:right="219"/>
        <w:spacing w:after="0" w:line="309" w:lineRule="auto"/>
        <w:rPr>
          <w:sz w:val="20"/>
          <w:szCs w:val="20"/>
          <w:color w:val="auto"/>
        </w:rPr>
      </w:pPr>
      <w:r>
        <w:rPr>
          <w:rFonts w:ascii="Arial" w:cs="Arial" w:eastAsia="Arial" w:hAnsi="Arial"/>
          <w:sz w:val="17"/>
          <w:szCs w:val="17"/>
          <w:b w:val="1"/>
          <w:bCs w:val="1"/>
          <w:i w:val="1"/>
          <w:iCs w:val="1"/>
          <w:color w:val="auto"/>
        </w:rPr>
        <w:t>If the market opportunities for our product candidates for which we receive marketing approval are smaller than we believe they are, our revenue may be adversely affected, and our business may suffer.</w:t>
      </w:r>
    </w:p>
    <w:p>
      <w:pPr>
        <w:spacing w:after="0" w:line="11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focus our research and product development on differentiating engineered iPSC into NK-, T-, or other immune cells for the treatment of various cancers and autoimmune and inflammatory diseases. Our projections of both the number of people who have these cancers or autoimmune and inflammatory diseases, as well as the subset of people with these cancers or autoimmune and inflammatory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 candidates, for which we receive marketing approval,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9" w:lineRule="exact"/>
        <w:rPr>
          <w:sz w:val="20"/>
          <w:szCs w:val="20"/>
          <w:color w:val="auto"/>
        </w:rPr>
      </w:pPr>
    </w:p>
    <w:p>
      <w:pPr>
        <w:ind w:left="60" w:right="219" w:firstLine="638"/>
        <w:spacing w:after="0" w:line="253"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CNTY-101 and our other product candidates, which may change from time to time;</w:t>
      </w:r>
    </w:p>
    <w:p>
      <w:pPr>
        <w:spacing w:after="0" w:line="168" w:lineRule="exact"/>
        <w:rPr>
          <w:rFonts w:ascii="Arial" w:cs="Arial" w:eastAsia="Arial" w:hAnsi="Arial"/>
          <w:sz w:val="18"/>
          <w:szCs w:val="18"/>
          <w:color w:val="auto"/>
        </w:rPr>
      </w:pPr>
    </w:p>
    <w:p>
      <w:pPr>
        <w:ind w:left="60" w:right="819" w:firstLine="638"/>
        <w:spacing w:after="0" w:line="301" w:lineRule="auto"/>
        <w:tabs>
          <w:tab w:leader="none" w:pos="1356"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CNTY-101 and our other product candidates, if approved, and potential future drugs or biologics that compete with our products;</w:t>
      </w:r>
    </w:p>
    <w:p>
      <w:pPr>
        <w:spacing w:after="0" w:line="130" w:lineRule="exact"/>
        <w:rPr>
          <w:rFonts w:ascii="Arial" w:cs="Arial" w:eastAsia="Arial" w:hAnsi="Arial"/>
          <w:sz w:val="17"/>
          <w:szCs w:val="17"/>
          <w:color w:val="auto"/>
        </w:rPr>
      </w:pPr>
    </w:p>
    <w:p>
      <w:pPr>
        <w:ind w:left="60" w:right="739" w:firstLine="638"/>
        <w:spacing w:after="0" w:line="271"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manufacturing CNTY-101 and our other product candidates, which may vary depending on the quantity of production and the terms of our agreements with CMOs;</w:t>
      </w:r>
    </w:p>
    <w:p>
      <w:pPr>
        <w:spacing w:after="0" w:line="153" w:lineRule="exact"/>
        <w:rPr>
          <w:rFonts w:ascii="Arial" w:cs="Arial" w:eastAsia="Arial" w:hAnsi="Arial"/>
          <w:sz w:val="18"/>
          <w:szCs w:val="18"/>
          <w:color w:val="auto"/>
        </w:rPr>
      </w:pPr>
    </w:p>
    <w:p>
      <w:pPr>
        <w:ind w:left="60" w:right="259" w:firstLine="638"/>
        <w:spacing w:after="0" w:line="271"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11" w:lineRule="exact"/>
        <w:rPr>
          <w:rFonts w:ascii="Arial" w:cs="Arial" w:eastAsia="Arial" w:hAnsi="Arial"/>
          <w:sz w:val="18"/>
          <w:szCs w:val="18"/>
          <w:color w:val="auto"/>
        </w:rPr>
      </w:pPr>
    </w:p>
    <w:p>
      <w:pPr>
        <w:ind w:left="60" w:right="279" w:firstLine="638"/>
        <w:spacing w:after="0" w:line="271"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15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highly dependent upon our senior management, particularly Brent Pfeiffenberger, Pharm.D..,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82" w:lineRule="exact"/>
        <w:rPr>
          <w:sz w:val="20"/>
          <w:szCs w:val="20"/>
          <w:color w:val="auto"/>
        </w:rPr>
      </w:pPr>
    </w:p>
    <w:p>
      <w:pPr>
        <w:ind w:left="60" w:right="999"/>
        <w:spacing w:after="0" w:line="278"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39"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As of March 1, 2024, we had 165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159" w:lineRule="exact"/>
        <w:rPr>
          <w:sz w:val="20"/>
          <w:szCs w:val="20"/>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11" w:lineRule="exact"/>
        <w:rPr>
          <w:rFonts w:ascii="Arial" w:cs="Arial" w:eastAsia="Arial" w:hAnsi="Arial"/>
          <w:sz w:val="18"/>
          <w:szCs w:val="18"/>
          <w:color w:val="auto"/>
        </w:rPr>
      </w:pPr>
    </w:p>
    <w:p>
      <w:pPr>
        <w:ind w:left="60" w:right="279" w:firstLine="638"/>
        <w:spacing w:after="0" w:line="253" w:lineRule="auto"/>
        <w:tabs>
          <w:tab w:leader="none" w:pos="13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additional clinical and FDA or other comparable authority review process for CNTY-101 and our other product candidates, while complying with our contractual obligations to contractors and other third parties; and</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procedures.</w:t>
      </w:r>
    </w:p>
    <w:p>
      <w:pPr>
        <w:spacing w:after="0" w:line="19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1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Any pandemic, epidemic, or outbreak of an infectious disease, may materially and adversely affect our business and our financial results and could cause a disruption to the development of our drug candidates.</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Public health crises, such as pandemics or similar outbreaks, could adversely impact our business. For example,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Any future pandemic, epidemic or outbreak of an infectious disease could have similar effects. Furthermore, economic recessions, increased inflation and/or interest rates, and any disruptions to our operations or workforce availability, including those brought on by the effects of the COVID-19 pandemic or a similar health epidemic may have a negative effect on our operating results. The foregoing could result in an adverse effect on our business, results of operations, financial condition and cash flows.</w:t>
      </w:r>
    </w:p>
    <w:p>
      <w:pPr>
        <w:spacing w:after="0" w:line="170"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Potential disruptions to our preclinical and clinical development efforts related to future outbreaks or pandemics may include, but are not limited to, disruptions in our supply chain and our ability to procure the components for each of our product candidates for use in preclinical studies and clinical trials and enrolling patients in clinical trials. We are unable to predict if a future outbreak or pandemic could have similar or different impacts on our preclinical studies, clinical trials, business, financial condition, and results of operations.</w:t>
      </w:r>
    </w:p>
    <w:p>
      <w:pPr>
        <w:spacing w:after="0" w:line="168"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5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additional information on coverage and reimbursement, see the section entitled “Business—Government Regulation—Healthcare laws and regulations.”</w:t>
      </w:r>
    </w:p>
    <w:p>
      <w:pPr>
        <w:spacing w:after="0" w:line="18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76"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For additional information on coverage and reimbursement, see the section entitled “Business – Government Regulation – Healthcare reform”.</w:t>
      </w:r>
    </w:p>
    <w:p>
      <w:pPr>
        <w:spacing w:after="0" w:line="18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8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are required to maintain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in our Annual Reports on Form 10-K, as required by Section 404 of the Sarbanes-Oxley Act of 2002, or the Sarbanes-Oxley Act. This has required us to incur substantial additional professional fees and internal costs to expand our accounting and finance functions and we have expended significant management efforts as compared to prior to our IPO, when we were not required to test our internal controls.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market price of our stock could decline, and we could be subject to sanctions or investigations by the SEC or other regulatory authorities.</w:t>
      </w:r>
    </w:p>
    <w:p>
      <w:pPr>
        <w:spacing w:after="0" w:line="15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87"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5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18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8" w:lineRule="exact"/>
        <w:rPr>
          <w:sz w:val="20"/>
          <w:szCs w:val="20"/>
          <w:color w:val="auto"/>
        </w:rPr>
      </w:pPr>
    </w:p>
    <w:p>
      <w:pPr>
        <w:ind w:left="60" w:right="61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8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require significant financial and management resources. Regardless of the merits or eventual outcome, liability claims may result in:</w:t>
      </w:r>
    </w:p>
    <w:p>
      <w:pPr>
        <w:spacing w:after="0" w:line="154" w:lineRule="exact"/>
        <w:rPr>
          <w:sz w:val="20"/>
          <w:szCs w:val="20"/>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CNTY-101 or our other product candidates;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ind w:left="60" w:right="79"/>
        <w:spacing w:after="0" w:line="278" w:lineRule="auto"/>
        <w:rPr>
          <w:sz w:val="20"/>
          <w:szCs w:val="20"/>
          <w:color w:val="auto"/>
        </w:rPr>
      </w:pPr>
      <w:r>
        <w:rPr>
          <w:rFonts w:ascii="Arial" w:cs="Arial" w:eastAsia="Arial" w:hAnsi="Arial"/>
          <w:sz w:val="17"/>
          <w:szCs w:val="17"/>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4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and our third-party vendors have from time to time experienced threats and security incidents that could affect our information or systems. We realize that cyberattacks are a threat, and there can be no assurance that our efforts will prevent information security incidents that would result in business, legal, financial, or reputational harm to us, or would have a material adverse effect on our results of operations and financial condition. Any failure to prevent or mitigate security incidents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8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or improper access to or disclosure of such information could have similarly adverse consequences for us. If we are unable to prevent or mitigate the impact of such security or data privacy incidents, we could be exposed to litigation and governmental investigations, which could lead to a potential disruption to our business.</w:t>
      </w:r>
    </w:p>
    <w:p>
      <w:pPr>
        <w:spacing w:after="0" w:line="18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7" w:lineRule="exact"/>
        <w:rPr>
          <w:sz w:val="20"/>
          <w:szCs w:val="20"/>
          <w:color w:val="auto"/>
        </w:rPr>
      </w:pPr>
    </w:p>
    <w:p>
      <w:pPr>
        <w:ind w:left="60" w:right="299"/>
        <w:spacing w:after="0" w:line="249"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6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or our collaborators collect, use, process, store and transfer certain personal and/or confidential information as part of our normal business operations. We are therefore subject to federal, state, and international laws and regulations governing the privacy and security of confidential information and personal data. In the United States, we are subject to numerous federal and state laws and regulations, including federal health information privacy laws, state data breach notification laws, state health information privacy laws, and federal and state consumer protection laws, governing the collection, use, disclosure, storage, transfer, protection, and disposal of health-related and other the personal and/or confidential information we and/or our collaborators utilize A failure to comply with these current or future federal, state, and international laws and regulations and industry standards relating to data privacy and security could lead to investigatory or regulatory action, private litigation or class actions that could result in exposure to civil or criminal penalties,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monetary or statutory damages, attorney fee awards and/or exposure to adverse publicity that could negatively affect our operating results and business.</w:t>
      </w:r>
    </w:p>
    <w:p>
      <w:pPr>
        <w:spacing w:after="0" w:line="15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security incident may be costly and could disrupt our operations. By way of example, the CCPA, creates individual privacy rights for California consumers and increases the privacy and security obligations of entities handling certain personal data. The CCPA requires covered companies to provide certain disclosures to consumers about its data collection, use and sharing practices, and to provide affected California residents with ways to opt-out of certain sales or transfers of personal information. The CCPA also provides for civil penalties for violations, as well as a private right of action for data breaches that is expected to increase data breach litigation. Additionally, the CCPA was recently amended by a California ballot initiative, the California Privacy Rights Act, or the CPRA, which became effective on January 1, 2023. The amendments introduced by the CPRA modify the CCPA significantly, including by imposing additional obligations on companies covered by the legislation, expanding consumers’ rights with respect to certain sensitive personal information, and creating a new state agency that is vested with authority to implement and enforce the CCPA. The effects of the CCPA (as modified by the CPRA) are potentially significant and may increase out potential exposure to regulatory enforcement and/or litigation potentially resulting in further uncertainty and requiring us to incur additional costs and expenses in an effort to comply.</w:t>
      </w:r>
    </w:p>
    <w:p>
      <w:pPr>
        <w:spacing w:after="0" w:line="18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Certain other state laws impose similar privacy obligations, and we anticipate that more states may enact legislation similar to the CCPA. Already, similar laws have entered into force in Virginia, Utah, Colorado, and Connecticut and passed in numerous other states. The CCPA has also prompted other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38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Foreign data protection laws, may also apply to health-related and other personal information belonging to individuals who reside outside of the United States. In Europe, data collection and use is governed by restrictive regulations, including, in relation to the European Union, the General Data Protection Regulation (EU) 2016/679, or the EU GDPR. Following the withdrawal of the United Kingdom from the European Union, or Brexit, the EU GDPR has been incorporated into the United Kingdom’s law, or UK GDPR. The EU GDPR and UK GDPR are wide-ranging in scope and impose numerous requirements on companies that process personal data, including, among other obligations and requirements: (i) strict requirements relating to processing certain categories of data (i.e. “sensitive information” or special category data) including health data, (ii) requirements relating to how an organization can obtain and rely upon consent obtained from individuals to process their personal data, (iii) obligations related to providing information to individuals regarding data processing activities,</w:t>
      </w:r>
    </w:p>
    <w:p>
      <w:pPr>
        <w:spacing w:after="0" w:line="8" w:lineRule="exact"/>
        <w:rPr>
          <w:sz w:val="20"/>
          <w:szCs w:val="20"/>
          <w:color w:val="auto"/>
        </w:rPr>
      </w:pPr>
    </w:p>
    <w:p>
      <w:pPr>
        <w:ind w:left="60" w:right="159" w:hanging="10"/>
        <w:spacing w:after="0" w:line="237"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responsibility to implement safeguards to protect the security and confidentiality of personal data, (v) requirements to provide notification to competent data protection authorities and/or individuals of personal data breaches, and (vi) taking certain measures when engaging third-party processors. The EU GDPR and UK GDPR also grant individuals certain rights, subject to certain limitations, including the rights to request and access a copy of the personal data processed by an organization, to have inaccurate personal data rectified or completed if incomplete, to object to or restrict the processing of their personal data, and to request deletion of personal data.</w:t>
      </w:r>
    </w:p>
    <w:p>
      <w:pPr>
        <w:spacing w:after="0" w:line="171" w:lineRule="exact"/>
        <w:rPr>
          <w:sz w:val="20"/>
          <w:szCs w:val="20"/>
          <w:color w:val="auto"/>
        </w:rPr>
      </w:pPr>
    </w:p>
    <w:p>
      <w:pPr>
        <w:ind w:left="60" w:right="399"/>
        <w:spacing w:after="0" w:line="261" w:lineRule="auto"/>
        <w:rPr>
          <w:sz w:val="20"/>
          <w:szCs w:val="20"/>
          <w:color w:val="auto"/>
        </w:rPr>
      </w:pPr>
      <w:r>
        <w:rPr>
          <w:rFonts w:ascii="Arial" w:cs="Arial" w:eastAsia="Arial" w:hAnsi="Arial"/>
          <w:sz w:val="17"/>
          <w:szCs w:val="17"/>
          <w:color w:val="auto"/>
        </w:rPr>
        <w:t>The EU GDPR and UK also regulate cross-border transfers of personal data. For example, the EU GDPR requires us to enter into an appropriate transfer mechanism and may require us to take additional steps to ensure an essentially equivalent level of data protection. These transfer mechanisms are subject to change, and implementing new or revised transfer mechanisms or ensuring an essentially equivalent protection may involve additional expense and potentially increased compliance risk. Such restrictions may increase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obligations in relation to carrying out international transfers of personal data and cause us to incur additional expense and increased regulatory liabilities. Despite Brexit, the EU GDPR and UK GDPR remain largely aligned. Currently, the most impactful point of divergence between the EU GDPR and the UK GDPR relates to the transfer mechanisms, as explained above. There may be further divergence in the future, including with regard to administrative burdens. The United Kingdom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17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Companies that must comply with the GDPR face increased compliance obligations and risk, including more robust regulatory enforcement of data protection requirements and potential fines for noncompliance of up to the greater of 4% of worldwide turnover of the noncompliant company in the preceding financial year or €20 million (under EU GDPR) or £17.5 million (under UK GDPR), as applicable. The EU GDPR and UK GDPR also confer a private right of action on data subjects and consumer associations to lodge complaints with supervisory authorities, seek judicial remedies, and obtain compensation for damages resulting from violations. The EU GDPR and UK GDPR increased our responsibility and liability in relation to personal data that we process where such processing is subject to such laws, and we may be required to put in place additional mechanisms to ensure compliance, including as implemented by individual countries. Compliance with the EU GDPR and UK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00" w:lineRule="exact"/>
        <w:rPr>
          <w:sz w:val="20"/>
          <w:szCs w:val="20"/>
          <w:color w:val="auto"/>
        </w:rPr>
      </w:pPr>
    </w:p>
    <w:p>
      <w:pPr>
        <w:spacing w:after="0" w:line="22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Compliance with U.S. federal and state laws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88" w:lineRule="exact"/>
        <w:rPr>
          <w:sz w:val="20"/>
          <w:szCs w:val="20"/>
          <w:color w:val="auto"/>
        </w:rPr>
      </w:pPr>
    </w:p>
    <w:p>
      <w:pPr>
        <w:ind w:left="60" w:right="139"/>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currently own issued patents relating to some of our product candidates.</w:t>
      </w:r>
    </w:p>
    <w:p>
      <w:pPr>
        <w:spacing w:after="0" w:line="210"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Given the early stage of development of our product candidates, our patent portfolio is similarly at a very early stage.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patent applications in the United States and internationally related to our products CNTY-101, CNTY-102, CNTY-106 and CNTY-107 and have filed non-provisional and provisional patent applications on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technology and any proprietary products and technology we develop, our business, financial condition, results of operations, and prospects could be materially harmed.</w:t>
      </w:r>
    </w:p>
    <w:p>
      <w:pPr>
        <w:spacing w:after="0" w:line="185"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any of our license agreements with FCDI are terminated, we could lose our rights to key components enabling our iPSC-derived allogeneic cell therapy platforms.</w:t>
      </w:r>
    </w:p>
    <w:p>
      <w:pPr>
        <w:spacing w:after="0" w:line="13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commercial success will depend in part on the maintenance of our license agreements. We are party to (i) an exclusive license with FCDI, pursuant to which we have received an exclusive license to certain patents and know-how related to the differentiation of iPSC cells into immune-effector cells in the field of cancer immunotherapeutics, or the Differentiation License, (ii) a non-exclusive license for the rights to certain patents and know-how related to the reprogramming of human somatic cells to iPSCs in the field of cancer immunotherapeutics, or the Reprogramming License, and (iii)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the Autoimmune License, together with the Reprogramming License and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FCDI Licenses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If, for any reason, the FCDI Licenses or certain of our other license agreements are terminated or we otherwise lose the rights under such agreements, it would adversely affect our business. If we breach any material obligations under the FCDI Licenses or certain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191" w:lineRule="exact"/>
        <w:rPr>
          <w:sz w:val="20"/>
          <w:szCs w:val="20"/>
          <w:color w:val="auto"/>
        </w:rPr>
      </w:pPr>
    </w:p>
    <w:p>
      <w:pPr>
        <w:ind w:left="60" w:right="57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CNTY-101 and our other product candidates.</w:t>
      </w:r>
    </w:p>
    <w:p>
      <w:pPr>
        <w:spacing w:after="0" w:line="13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8" w:lineRule="exact"/>
        <w:rPr>
          <w:sz w:val="20"/>
          <w:szCs w:val="20"/>
          <w:color w:val="auto"/>
        </w:rPr>
      </w:pPr>
    </w:p>
    <w:p>
      <w:pPr>
        <w:ind w:left="60" w:right="79" w:firstLine="638"/>
        <w:spacing w:after="0" w:line="247"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173" w:lineRule="exact"/>
        <w:rPr>
          <w:rFonts w:ascii="Arial" w:cs="Arial" w:eastAsia="Arial" w:hAnsi="Arial"/>
          <w:sz w:val="18"/>
          <w:szCs w:val="18"/>
          <w:color w:val="auto"/>
        </w:rPr>
      </w:pPr>
    </w:p>
    <w:p>
      <w:pPr>
        <w:ind w:left="60" w:right="499" w:firstLine="638"/>
        <w:spacing w:after="0" w:line="271"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intellectual property rights to third parties;</w:t>
      </w:r>
    </w:p>
    <w:p>
      <w:pPr>
        <w:spacing w:after="0" w:line="211" w:lineRule="exact"/>
        <w:rPr>
          <w:rFonts w:ascii="Arial" w:cs="Arial" w:eastAsia="Arial" w:hAnsi="Arial"/>
          <w:sz w:val="18"/>
          <w:szCs w:val="18"/>
          <w:color w:val="auto"/>
        </w:rPr>
      </w:pPr>
    </w:p>
    <w:p>
      <w:pPr>
        <w:ind w:left="60" w:right="199" w:firstLine="638"/>
        <w:spacing w:after="0" w:line="253"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11" w:lineRule="exact"/>
        <w:rPr>
          <w:rFonts w:ascii="Arial" w:cs="Arial" w:eastAsia="Arial" w:hAnsi="Arial"/>
          <w:sz w:val="18"/>
          <w:szCs w:val="18"/>
          <w:color w:val="auto"/>
        </w:rPr>
      </w:pPr>
    </w:p>
    <w:p>
      <w:pPr>
        <w:ind w:left="60" w:right="299" w:firstLine="638"/>
        <w:spacing w:after="0" w:line="271"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54"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7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 licensors to comply with their obligations under their upstream license agreements where we may have no relationship with the original licensor of such rights. If our sub 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181"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3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patent applications with respect to CNTY-101 and other aspects of our product technology, our patent portfolio is in an earlier stage of prosecution. We do not own any issued patents related to some of our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19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152" w:lineRule="exact"/>
        <w:rPr>
          <w:sz w:val="20"/>
          <w:szCs w:val="20"/>
          <w:color w:val="auto"/>
        </w:rPr>
      </w:pPr>
    </w:p>
    <w:p>
      <w:pPr>
        <w:ind w:left="60" w:right="299" w:firstLine="638"/>
        <w:spacing w:after="0" w:line="247"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3" w:lineRule="exact"/>
        <w:rPr>
          <w:rFonts w:ascii="Arial" w:cs="Arial" w:eastAsia="Arial" w:hAnsi="Arial"/>
          <w:sz w:val="18"/>
          <w:szCs w:val="18"/>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11" w:lineRule="exact"/>
        <w:rPr>
          <w:rFonts w:ascii="Arial" w:cs="Arial" w:eastAsia="Arial" w:hAnsi="Arial"/>
          <w:sz w:val="18"/>
          <w:szCs w:val="18"/>
          <w:color w:val="auto"/>
        </w:rPr>
      </w:pPr>
    </w:p>
    <w:p>
      <w:pPr>
        <w:ind w:left="60" w:right="879" w:firstLine="638"/>
        <w:spacing w:after="0" w:line="271"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53" w:lineRule="exact"/>
        <w:rPr>
          <w:rFonts w:ascii="Arial" w:cs="Arial" w:eastAsia="Arial" w:hAnsi="Arial"/>
          <w:sz w:val="18"/>
          <w:szCs w:val="18"/>
          <w:color w:val="auto"/>
        </w:rPr>
      </w:pPr>
    </w:p>
    <w:p>
      <w:pPr>
        <w:jc w:val="both"/>
        <w:ind w:left="60" w:right="259" w:firstLine="638"/>
        <w:spacing w:after="0" w:line="247"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173" w:lineRule="exact"/>
        <w:rPr>
          <w:rFonts w:ascii="Arial" w:cs="Arial" w:eastAsia="Arial" w:hAnsi="Arial"/>
          <w:sz w:val="18"/>
          <w:szCs w:val="18"/>
          <w:color w:val="auto"/>
        </w:rPr>
      </w:pPr>
    </w:p>
    <w:p>
      <w:pPr>
        <w:ind w:left="60" w:right="99" w:firstLine="638"/>
        <w:spacing w:after="0" w:line="275" w:lineRule="auto"/>
        <w:tabs>
          <w:tab w:leader="none" w:pos="135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51" w:lineRule="exact"/>
        <w:rPr>
          <w:rFonts w:ascii="Arial" w:cs="Arial" w:eastAsia="Arial" w:hAnsi="Arial"/>
          <w:sz w:val="17"/>
          <w:szCs w:val="17"/>
          <w:color w:val="auto"/>
        </w:rPr>
      </w:pPr>
    </w:p>
    <w:p>
      <w:pPr>
        <w:jc w:val="both"/>
        <w:ind w:left="60" w:right="219" w:firstLine="638"/>
        <w:spacing w:after="0" w:line="253"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including our collaboration with Bristol-Myers Squibb, we do not have the right to control the preparation, filing, and prosecution of patent applications, or to maintain the patents, directed to technology that we license from third parties or which are filed on products developed under the Collaboration Agreement. We may also require the cooperation of our licensor or Bristol-Myers Squibb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were the first to make the inventions claimed in our licensed patents or pending patent applications, or that we were the first to file for patent protection of such inventions.</w:t>
      </w:r>
    </w:p>
    <w:p>
      <w:pPr>
        <w:spacing w:after="0" w:line="156"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7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18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or our licensors or collaborators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our collaborators or our licensors, whether current or future, fail to establish, maintain, or protect such patents and other intellectual property rights, such rights may be reduced or eliminated. If our licensors or collaborators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184"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85" w:lineRule="exact"/>
        <w:rPr>
          <w:sz w:val="20"/>
          <w:szCs w:val="20"/>
          <w:color w:val="auto"/>
        </w:rPr>
      </w:pPr>
    </w:p>
    <w:p>
      <w:pPr>
        <w:ind w:left="60" w:right="279"/>
        <w:spacing w:after="0" w:line="259" w:lineRule="auto"/>
        <w:rPr>
          <w:sz w:val="20"/>
          <w:szCs w:val="20"/>
          <w:color w:val="auto"/>
        </w:rPr>
      </w:pPr>
      <w:r>
        <w:rPr>
          <w:rFonts w:ascii="Arial" w:cs="Arial" w:eastAsia="Arial" w:hAnsi="Arial"/>
          <w:sz w:val="17"/>
          <w:szCs w:val="17"/>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181" w:lineRule="exact"/>
        <w:rPr>
          <w:sz w:val="20"/>
          <w:szCs w:val="20"/>
          <w:color w:val="auto"/>
        </w:rPr>
      </w:pPr>
    </w:p>
    <w:p>
      <w:pPr>
        <w:ind w:left="60" w:right="1019"/>
        <w:spacing w:after="0" w:line="278"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ind w:left="60" w:right="539"/>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9" w:lineRule="exact"/>
        <w:rPr>
          <w:sz w:val="20"/>
          <w:szCs w:val="20"/>
          <w:color w:val="auto"/>
        </w:rPr>
      </w:pPr>
    </w:p>
    <w:p>
      <w:pPr>
        <w:ind w:left="60" w:right="439" w:firstLine="638"/>
        <w:spacing w:after="0" w:line="271"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CNTY-101 and our other product candidates but that are not covered by the claims of the patents that we own or license;</w:t>
      </w:r>
    </w:p>
    <w:p>
      <w:pPr>
        <w:spacing w:after="0" w:line="153" w:lineRule="exact"/>
        <w:rPr>
          <w:rFonts w:ascii="Arial" w:cs="Arial" w:eastAsia="Arial" w:hAnsi="Arial"/>
          <w:sz w:val="18"/>
          <w:szCs w:val="18"/>
          <w:color w:val="auto"/>
        </w:rPr>
      </w:pPr>
    </w:p>
    <w:p>
      <w:pPr>
        <w:ind w:left="60" w:right="659" w:firstLine="638"/>
        <w:spacing w:after="0" w:line="271"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153" w:lineRule="exact"/>
        <w:rPr>
          <w:rFonts w:ascii="Arial" w:cs="Arial" w:eastAsia="Arial" w:hAnsi="Arial"/>
          <w:sz w:val="18"/>
          <w:szCs w:val="18"/>
          <w:color w:val="auto"/>
        </w:rPr>
      </w:pPr>
    </w:p>
    <w:p>
      <w:pPr>
        <w:ind w:left="60" w:right="479" w:firstLine="638"/>
        <w:spacing w:after="0" w:line="271"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153" w:lineRule="exact"/>
        <w:rPr>
          <w:rFonts w:ascii="Arial" w:cs="Arial" w:eastAsia="Arial" w:hAnsi="Arial"/>
          <w:sz w:val="18"/>
          <w:szCs w:val="18"/>
          <w:color w:val="auto"/>
        </w:rPr>
      </w:pPr>
    </w:p>
    <w:p>
      <w:pPr>
        <w:ind w:left="60" w:right="379" w:firstLine="638"/>
        <w:spacing w:after="0" w:line="271"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11" w:lineRule="exact"/>
        <w:rPr>
          <w:rFonts w:ascii="Arial" w:cs="Arial" w:eastAsia="Arial" w:hAnsi="Arial"/>
          <w:sz w:val="18"/>
          <w:szCs w:val="18"/>
          <w:color w:val="auto"/>
        </w:rPr>
      </w:pPr>
    </w:p>
    <w:p>
      <w:pPr>
        <w:ind w:left="60" w:right="139" w:firstLine="638"/>
        <w:spacing w:after="0" w:line="271"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53" w:lineRule="exact"/>
        <w:rPr>
          <w:rFonts w:ascii="Arial" w:cs="Arial" w:eastAsia="Arial" w:hAnsi="Arial"/>
          <w:sz w:val="18"/>
          <w:szCs w:val="18"/>
          <w:color w:val="auto"/>
        </w:rPr>
      </w:pPr>
    </w:p>
    <w:p>
      <w:pPr>
        <w:ind w:left="60" w:right="99" w:firstLine="638"/>
        <w:spacing w:after="0" w:line="253"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8" w:lineRule="exact"/>
        <w:rPr>
          <w:rFonts w:ascii="Arial" w:cs="Arial" w:eastAsia="Arial" w:hAnsi="Arial"/>
          <w:sz w:val="18"/>
          <w:szCs w:val="18"/>
          <w:color w:val="auto"/>
        </w:rPr>
      </w:pPr>
    </w:p>
    <w:p>
      <w:pPr>
        <w:ind w:left="1340" w:hanging="642"/>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519"/>
        <w:spacing w:after="0" w:line="245"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7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180" w:lineRule="exact"/>
        <w:rPr>
          <w:sz w:val="20"/>
          <w:szCs w:val="20"/>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11" w:lineRule="exact"/>
        <w:rPr>
          <w:rFonts w:ascii="Arial" w:cs="Arial" w:eastAsia="Arial" w:hAnsi="Arial"/>
          <w:sz w:val="18"/>
          <w:szCs w:val="18"/>
          <w:color w:val="auto"/>
        </w:rPr>
      </w:pPr>
    </w:p>
    <w:p>
      <w:pPr>
        <w:ind w:left="60" w:right="79" w:firstLine="638"/>
        <w:spacing w:after="0" w:line="271"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prevent us from commercializing CNTY-101 and our other product candidates until the asserted patent expires or is held finally invalid or not infringed in a court of law;</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basis;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11" w:lineRule="exact"/>
        <w:rPr>
          <w:rFonts w:ascii="Arial" w:cs="Arial" w:eastAsia="Arial" w:hAnsi="Arial"/>
          <w:sz w:val="18"/>
          <w:szCs w:val="18"/>
          <w:color w:val="auto"/>
        </w:rPr>
      </w:pPr>
    </w:p>
    <w:p>
      <w:pPr>
        <w:ind w:left="60" w:right="119" w:firstLine="638"/>
        <w:spacing w:after="0" w:line="253"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188"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1"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5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18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parties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8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83"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shares of our common stock may decline. Such announcements could also harm our reputation or the market for our future products, which could have a material adverse effect on our business.</w:t>
      </w:r>
    </w:p>
    <w:p>
      <w:pPr>
        <w:spacing w:after="0" w:line="154"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4"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3"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70"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184"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1"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CNTY-101 and our other product candidates for an adequate amount of time.</w:t>
      </w:r>
    </w:p>
    <w:p>
      <w:pPr>
        <w:spacing w:after="0" w:line="13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70" w:lineRule="exact"/>
        <w:rPr>
          <w:sz w:val="20"/>
          <w:szCs w:val="20"/>
          <w:color w:val="auto"/>
        </w:rPr>
      </w:pPr>
    </w:p>
    <w:p>
      <w:pPr>
        <w:ind w:left="60" w:right="139"/>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CNTY-101 and our other product candidates, our business may be materially harmed.</w:t>
      </w:r>
    </w:p>
    <w:p>
      <w:pPr>
        <w:spacing w:after="0" w:line="13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1" w:lineRule="exact"/>
        <w:rPr>
          <w:sz w:val="20"/>
          <w:szCs w:val="20"/>
          <w:color w:val="auto"/>
        </w:rPr>
      </w:pPr>
    </w:p>
    <w:p>
      <w:pPr>
        <w:ind w:left="60" w:right="319"/>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182" w:lineRule="exact"/>
        <w:rPr>
          <w:sz w:val="20"/>
          <w:szCs w:val="20"/>
          <w:color w:val="auto"/>
        </w:rPr>
      </w:pPr>
    </w:p>
    <w:p>
      <w:pPr>
        <w:ind w:left="60" w:right="739"/>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4"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7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1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highly volatile, and purchasers of our common stock could incur substantial losses.</w:t>
      </w:r>
    </w:p>
    <w:p>
      <w:pPr>
        <w:spacing w:after="0" w:line="13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Our stock price has been volatile since our initial public offering.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74" w:lineRule="exact"/>
        <w:rPr>
          <w:sz w:val="20"/>
          <w:szCs w:val="20"/>
          <w:color w:val="auto"/>
        </w:rPr>
      </w:pPr>
    </w:p>
    <w:p>
      <w:pPr>
        <w:ind w:left="60" w:right="519" w:firstLine="638"/>
        <w:spacing w:after="0" w:line="301" w:lineRule="auto"/>
        <w:tabs>
          <w:tab w:leader="none" w:pos="135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and future preclinical studies and clinical trials, and the results of trials of our competitors or those of other companies in our market sector;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5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11" w:lineRule="exact"/>
        <w:rPr>
          <w:rFonts w:ascii="Arial" w:cs="Arial" w:eastAsia="Arial" w:hAnsi="Arial"/>
          <w:sz w:val="18"/>
          <w:szCs w:val="18"/>
          <w:color w:val="auto"/>
        </w:rPr>
      </w:pPr>
    </w:p>
    <w:p>
      <w:pPr>
        <w:ind w:left="60" w:right="7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19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11" w:lineRule="exact"/>
        <w:rPr>
          <w:rFonts w:ascii="Arial" w:cs="Arial" w:eastAsia="Arial" w:hAnsi="Arial"/>
          <w:sz w:val="18"/>
          <w:szCs w:val="18"/>
          <w:color w:val="auto"/>
        </w:rPr>
      </w:pPr>
    </w:p>
    <w:p>
      <w:pPr>
        <w:ind w:left="60" w:right="11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11" w:lineRule="exact"/>
        <w:rPr>
          <w:rFonts w:ascii="Arial" w:cs="Arial" w:eastAsia="Arial" w:hAnsi="Arial"/>
          <w:sz w:val="18"/>
          <w:szCs w:val="18"/>
          <w:color w:val="auto"/>
        </w:rPr>
      </w:pPr>
    </w:p>
    <w:p>
      <w:pPr>
        <w:ind w:left="60" w:right="55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60" w:right="23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211" w:lineRule="exact"/>
        <w:rPr>
          <w:rFonts w:ascii="Arial" w:cs="Arial" w:eastAsia="Arial" w:hAnsi="Arial"/>
          <w:sz w:val="18"/>
          <w:szCs w:val="18"/>
          <w:color w:val="auto"/>
        </w:rPr>
      </w:pPr>
    </w:p>
    <w:p>
      <w:pPr>
        <w:ind w:left="60" w:right="319" w:firstLine="638"/>
        <w:spacing w:after="0" w:line="271"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76" w:lineRule="exact"/>
        <w:rPr>
          <w:sz w:val="20"/>
          <w:szCs w:val="20"/>
          <w:color w:val="auto"/>
        </w:rPr>
      </w:pPr>
    </w:p>
    <w:p>
      <w:pPr>
        <w:ind w:left="60" w:right="339"/>
        <w:spacing w:after="0" w:line="256"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color w:val="auto"/>
        </w:rPr>
        <w:t>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7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4" w:lineRule="exact"/>
        <w:rPr>
          <w:sz w:val="20"/>
          <w:szCs w:val="20"/>
          <w:color w:val="auto"/>
        </w:rPr>
      </w:pPr>
    </w:p>
    <w:p>
      <w:pPr>
        <w:ind w:left="60" w:right="419"/>
        <w:spacing w:after="0" w:line="257" w:lineRule="auto"/>
        <w:rPr>
          <w:sz w:val="20"/>
          <w:szCs w:val="20"/>
          <w:color w:val="auto"/>
        </w:rPr>
      </w:pPr>
      <w:r>
        <w:rPr>
          <w:rFonts w:ascii="Arial" w:cs="Arial" w:eastAsia="Arial" w:hAnsi="Arial"/>
          <w:sz w:val="18"/>
          <w:szCs w:val="18"/>
          <w:b w:val="1"/>
          <w:bCs w:val="1"/>
          <w:color w:val="auto"/>
        </w:rPr>
        <w:t>Our executive officers, directors, principal stockholders, and affiliates have the ability to exercise significant control over our company, which will limit your ability to influence corporate matters and could delay or prevent a change in corporate control</w:t>
      </w:r>
      <w:r>
        <w:rPr>
          <w:rFonts w:ascii="Arial" w:cs="Arial" w:eastAsia="Arial" w:hAnsi="Arial"/>
          <w:sz w:val="18"/>
          <w:szCs w:val="18"/>
          <w:color w:val="auto"/>
        </w:rPr>
        <w:t>.</w:t>
      </w:r>
    </w:p>
    <w:p>
      <w:pPr>
        <w:spacing w:after="0" w:line="15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As of December 31, 2023, the existing holdings of our executive officers, directors and affiliates, represented beneficial ownership, in the aggregate, of approximately 24%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your interests.</w:t>
      </w:r>
    </w:p>
    <w:p>
      <w:pPr>
        <w:spacing w:after="0" w:line="179"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and the concentration of voting power among these stockholders may have an adverse effect on the price of our common stock. In addition, this concentration of ownership might adversely affect the market price of our common stock by:</w:t>
      </w:r>
    </w:p>
    <w:p>
      <w:pPr>
        <w:spacing w:after="0" w:line="169" w:lineRule="exact"/>
        <w:rPr>
          <w:sz w:val="20"/>
          <w:szCs w:val="20"/>
          <w:color w:val="auto"/>
        </w:rPr>
      </w:pPr>
    </w:p>
    <w:p>
      <w:pPr>
        <w:ind w:left="1340" w:hanging="642"/>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w:t>
      </w:r>
    </w:p>
    <w:p>
      <w:pPr>
        <w:spacing w:after="0" w:line="1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control of us.</w:t>
      </w:r>
    </w:p>
    <w:p>
      <w:pPr>
        <w:spacing w:after="0" w:line="196" w:lineRule="exact"/>
        <w:rPr>
          <w:sz w:val="20"/>
          <w:szCs w:val="20"/>
          <w:color w:val="auto"/>
        </w:rPr>
      </w:pPr>
    </w:p>
    <w:p>
      <w:pPr>
        <w:jc w:val="both"/>
        <w:ind w:left="60" w:right="199"/>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180" w:lineRule="exact"/>
        <w:rPr>
          <w:sz w:val="20"/>
          <w:szCs w:val="20"/>
          <w:color w:val="auto"/>
        </w:rPr>
      </w:pPr>
    </w:p>
    <w:p>
      <w:pPr>
        <w:ind w:left="60" w:right="899" w:firstLine="638"/>
        <w:spacing w:after="0" w:line="271" w:lineRule="auto"/>
        <w:tabs>
          <w:tab w:leader="none" w:pos="13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3" w:lineRule="exact"/>
        <w:rPr>
          <w:rFonts w:ascii="Arial" w:cs="Arial" w:eastAsia="Arial" w:hAnsi="Arial"/>
          <w:sz w:val="18"/>
          <w:szCs w:val="18"/>
          <w:color w:val="auto"/>
        </w:rPr>
      </w:pPr>
    </w:p>
    <w:p>
      <w:pPr>
        <w:ind w:left="1340" w:hanging="642"/>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211" w:lineRule="exact"/>
        <w:rPr>
          <w:rFonts w:ascii="Arial" w:cs="Arial" w:eastAsia="Arial" w:hAnsi="Arial"/>
          <w:sz w:val="18"/>
          <w:szCs w:val="18"/>
          <w:color w:val="auto"/>
        </w:rPr>
      </w:pPr>
    </w:p>
    <w:p>
      <w:pPr>
        <w:ind w:left="60" w:right="419" w:firstLine="638"/>
        <w:spacing w:after="0" w:line="271" w:lineRule="auto"/>
        <w:tabs>
          <w:tab w:leader="none" w:pos="13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40" w:hanging="642"/>
        <w:spacing w:after="0"/>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taken advantage of reduced reporting burdens in this Annual Report on Form 10-K.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188" w:lineRule="exact"/>
        <w:rPr>
          <w:sz w:val="20"/>
          <w:szCs w:val="20"/>
          <w:color w:val="auto"/>
        </w:rPr>
      </w:pPr>
    </w:p>
    <w:p>
      <w:pPr>
        <w:ind w:left="60" w:right="83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became a public company in June 2021. As a public company, and particularly after we are no longer an emerging growth company or smaller reporting company, we have and will continue to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18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8" w:lineRule="exact"/>
        <w:rPr>
          <w:sz w:val="20"/>
          <w:szCs w:val="20"/>
          <w:color w:val="auto"/>
        </w:rPr>
      </w:pPr>
    </w:p>
    <w:p>
      <w:pPr>
        <w:ind w:left="60" w:right="399"/>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59"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Provisions in our second amended and restated certificate of incorporation and our second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80" w:lineRule="exact"/>
        <w:rPr>
          <w:sz w:val="20"/>
          <w:szCs w:val="20"/>
          <w:color w:val="auto"/>
        </w:rPr>
      </w:pPr>
    </w:p>
    <w:p>
      <w:pPr>
        <w:ind w:left="60" w:right="119" w:firstLine="638"/>
        <w:spacing w:after="0" w:line="253"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68" w:lineRule="exact"/>
        <w:rPr>
          <w:rFonts w:ascii="Arial" w:cs="Arial" w:eastAsia="Arial" w:hAnsi="Arial"/>
          <w:sz w:val="18"/>
          <w:szCs w:val="18"/>
          <w:color w:val="auto"/>
        </w:rPr>
      </w:pPr>
    </w:p>
    <w:p>
      <w:pPr>
        <w:ind w:left="60" w:right="399" w:firstLine="638"/>
        <w:spacing w:after="0" w:line="253"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68" w:lineRule="exact"/>
        <w:rPr>
          <w:rFonts w:ascii="Arial" w:cs="Arial" w:eastAsia="Arial" w:hAnsi="Arial"/>
          <w:sz w:val="18"/>
          <w:szCs w:val="18"/>
          <w:color w:val="auto"/>
        </w:rPr>
      </w:pPr>
    </w:p>
    <w:p>
      <w:pPr>
        <w:ind w:left="60" w:right="139" w:firstLine="638"/>
        <w:spacing w:after="0" w:line="271"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spacing w:after="0" w:line="153" w:lineRule="exact"/>
        <w:rPr>
          <w:rFonts w:ascii="Arial" w:cs="Arial" w:eastAsia="Arial" w:hAnsi="Arial"/>
          <w:sz w:val="18"/>
          <w:szCs w:val="18"/>
          <w:color w:val="auto"/>
        </w:rPr>
      </w:pPr>
    </w:p>
    <w:p>
      <w:pPr>
        <w:jc w:val="both"/>
        <w:ind w:left="60" w:right="179" w:firstLine="638"/>
        <w:spacing w:after="0" w:line="253"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168" w:lineRule="exact"/>
        <w:rPr>
          <w:rFonts w:ascii="Arial" w:cs="Arial" w:eastAsia="Arial" w:hAnsi="Arial"/>
          <w:sz w:val="18"/>
          <w:szCs w:val="18"/>
          <w:color w:val="auto"/>
        </w:rPr>
      </w:pPr>
    </w:p>
    <w:p>
      <w:pPr>
        <w:ind w:left="60" w:right="159" w:firstLine="638"/>
        <w:spacing w:after="0" w:line="271"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spacing w:after="0" w:line="153" w:lineRule="exact"/>
        <w:rPr>
          <w:rFonts w:ascii="Arial" w:cs="Arial" w:eastAsia="Arial" w:hAnsi="Arial"/>
          <w:sz w:val="18"/>
          <w:szCs w:val="18"/>
          <w:color w:val="auto"/>
        </w:rPr>
      </w:pPr>
    </w:p>
    <w:p>
      <w:pPr>
        <w:ind w:left="60" w:right="139" w:firstLine="638"/>
        <w:spacing w:after="0" w:line="271"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second amended and restated bylaws without obtaining stockholder approval;</w:t>
      </w:r>
    </w:p>
    <w:p>
      <w:pPr>
        <w:spacing w:after="0" w:line="153" w:lineRule="exact"/>
        <w:rPr>
          <w:rFonts w:ascii="Arial" w:cs="Arial" w:eastAsia="Arial" w:hAnsi="Arial"/>
          <w:sz w:val="18"/>
          <w:szCs w:val="18"/>
          <w:color w:val="auto"/>
        </w:rPr>
      </w:pPr>
    </w:p>
    <w:p>
      <w:pPr>
        <w:ind w:left="60" w:right="79" w:firstLine="638"/>
        <w:spacing w:after="0" w:line="253"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our second amended and restated bylaws, unless such action is recommended by our board of directors at an annual or special meeting of shareholders;</w:t>
      </w:r>
    </w:p>
    <w:p>
      <w:pPr>
        <w:spacing w:after="0" w:line="168" w:lineRule="exact"/>
        <w:rPr>
          <w:rFonts w:ascii="Arial" w:cs="Arial" w:eastAsia="Arial" w:hAnsi="Arial"/>
          <w:sz w:val="18"/>
          <w:szCs w:val="18"/>
          <w:color w:val="auto"/>
        </w:rPr>
      </w:pPr>
    </w:p>
    <w:p>
      <w:pPr>
        <w:ind w:left="60" w:right="79" w:firstLine="638"/>
        <w:spacing w:after="0" w:line="253"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amendment of the second amended and restated bylaws, (ii) stockholder action, (iii) election and removal of directors, (iv) limitations on liability and (v) exclusive forum for proceedings;</w:t>
      </w:r>
    </w:p>
    <w:p>
      <w:pPr>
        <w:spacing w:after="0" w:line="154" w:lineRule="exact"/>
        <w:rPr>
          <w:sz w:val="20"/>
          <w:szCs w:val="20"/>
          <w:color w:val="auto"/>
        </w:rPr>
      </w:pPr>
    </w:p>
    <w:p>
      <w:pPr>
        <w:ind w:left="60" w:right="59" w:firstLine="638"/>
        <w:spacing w:after="0" w:line="247" w:lineRule="auto"/>
        <w:tabs>
          <w:tab w:leader="none" w:pos="13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173" w:lineRule="exact"/>
        <w:rPr>
          <w:rFonts w:ascii="Arial" w:cs="Arial" w:eastAsia="Arial" w:hAnsi="Arial"/>
          <w:sz w:val="18"/>
          <w:szCs w:val="18"/>
          <w:color w:val="auto"/>
        </w:rPr>
      </w:pPr>
    </w:p>
    <w:p>
      <w:pPr>
        <w:ind w:left="60" w:right="379" w:firstLine="638"/>
        <w:spacing w:after="0" w:line="253" w:lineRule="auto"/>
        <w:tabs>
          <w:tab w:leader="none" w:pos="13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8"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second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second amended and restated certificate of incorporation and second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5" w:lineRule="exact"/>
        <w:rPr>
          <w:sz w:val="20"/>
          <w:szCs w:val="20"/>
          <w:color w:val="auto"/>
        </w:rPr>
      </w:pPr>
    </w:p>
    <w:p>
      <w:pPr>
        <w:ind w:left="60" w:right="179"/>
        <w:spacing w:after="0" w:line="278" w:lineRule="auto"/>
        <w:rPr>
          <w:sz w:val="20"/>
          <w:szCs w:val="20"/>
          <w:color w:val="auto"/>
        </w:rPr>
      </w:pPr>
      <w:r>
        <w:rPr>
          <w:rFonts w:ascii="Arial" w:cs="Arial" w:eastAsia="Arial" w:hAnsi="Arial"/>
          <w:sz w:val="18"/>
          <w:szCs w:val="18"/>
          <w:b w:val="1"/>
          <w:bCs w:val="1"/>
          <w:i w:val="1"/>
          <w:iCs w:val="1"/>
          <w:color w:val="auto"/>
        </w:rPr>
        <w:t>We may be unable to adequately protect our or our vendors’ information systems from cyberattacks or other incidents, which could result in the disclosure of confidential or proprietary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759"/>
        <w:spacing w:after="0" w:line="278" w:lineRule="auto"/>
        <w:rPr>
          <w:sz w:val="20"/>
          <w:szCs w:val="20"/>
          <w:color w:val="auto"/>
        </w:rPr>
      </w:pPr>
      <w:r>
        <w:rPr>
          <w:rFonts w:ascii="Arial" w:cs="Arial" w:eastAsia="Arial" w:hAnsi="Arial"/>
          <w:sz w:val="18"/>
          <w:szCs w:val="18"/>
          <w:b w:val="1"/>
          <w:bCs w:val="1"/>
          <w:i w:val="1"/>
          <w:iCs w:val="1"/>
          <w:color w:val="auto"/>
        </w:rPr>
        <w:t>including personal data, damage our reputation, and subject us to significant financial and legal exposure.</w:t>
      </w:r>
    </w:p>
    <w:p>
      <w:pPr>
        <w:spacing w:after="0" w:line="13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8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1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At Century Therapeutics, we recognize the importance of information security practices designed to protect the confidentiality, integrity, and availability of Company information. We have implemented a cybersecurity program in accordance with our risk profile and business that is informed by recognized industry standards and frameworks, and incorporates elements of the same, including elements of the National Institute of Standards and Technology Cybersecurity Framework (“NIST CSF”).</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cybersecurity risk management program includes a number of components, including information security maturity assessments, penetration testing, and vulnerability assessments, that are conducted periodically by both internal and external resources. We also conduct employee training and leverage third-party security tools, including but not limited to access controls, threat monitoring, and endpoint protection and response. We maintain a security operations center operated by a third party that collects cybersecurity threat data from multiple sources and determines if activity is potentially suspicious or malicious. We are in the process of developing and implementing additional cybersecurity policies and procedures.</w:t>
      </w:r>
    </w:p>
    <w:p>
      <w:pPr>
        <w:spacing w:after="0" w:line="185"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We take a risk-based approach to the evaluation of third-party vendors, and apply mitigations and processes based on the nature of the data accessed by the vendor. Currently, we review System and Organization Controls (“SOC”) reports from vendors who have access to financial reporting information, and we are in the process of developing additional vendor risk management policies and procedures.</w:t>
      </w:r>
    </w:p>
    <w:p>
      <w:pPr>
        <w:spacing w:after="0" w:line="17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 to time experienced threats and security incidents that could affect our information or systems. For more information, please see Section 1A. Risk Factors.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Cybersecuity Governance</w:t>
      </w:r>
    </w:p>
    <w:p>
      <w:pPr>
        <w:spacing w:after="0" w:line="21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Our Director of Cybersecurity is responsible for the strategic leadership and direction of the Company’s information security organization. The individual currently serving as the Director of Cybersecurity has over twenty years of experience working in information technology. The Director of Cybersecurity receives cybersecurity alerts from the Company’s third-party security operations center, and provides periodic updates to the Head of Information Technology who informs the Company’s executive committee, which includes the Company’s Chief Executive Officer, Chief Operating Officer and, Chief Financial Officer.</w:t>
      </w:r>
    </w:p>
    <w:p>
      <w:pPr>
        <w:spacing w:after="0" w:line="17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Beginning last year, the Director of Cybersecurity also provides updates to the Audit Committee of the board of directors approximately on a quarterly basis. The Audit Committee, pursuant to its charter, reviews significant existing and emerging cybersecurity risks, including material cybersecurity incidents if any, the impact on the Company and its stockholders of any significant cybersecurity incident and any disclosure obligations arising from any such incidents.</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right="639"/>
        <w:spacing w:after="0" w:line="275" w:lineRule="auto"/>
        <w:rPr>
          <w:sz w:val="20"/>
          <w:szCs w:val="20"/>
          <w:color w:val="auto"/>
        </w:rPr>
      </w:pPr>
      <w:r>
        <w:rPr>
          <w:rFonts w:ascii="Arial" w:cs="Arial" w:eastAsia="Arial" w:hAnsi="Arial"/>
          <w:sz w:val="17"/>
          <w:szCs w:val="17"/>
          <w:color w:val="auto"/>
        </w:rPr>
        <w:t>Our principal executive offices are located in Philadelphia, Pennsylvania. We operate in three office and laboratory spaces in Philadelphia pursuant to leases that expire in December 2025, October 2031 and March 2034. Additionally, we lease office and laboratory space in Seattle, Washington pursuant to leases</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expiring in September 2030, respectively and laboratory and office space in Hamilton, Ontario, pursuant to a lease that expires in May 2024. We also have a 53,000 square foot cell therapy manufacturing facility in Branchburg, New Jersey pursuant to a lease expiring in February 2037. We believe that our current facilities are adequate to meet our ongoing needs.</w:t>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60" w:right="39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publicly traded on the Nasdaq Global Market under the symbol “IPSC.”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February 29, 2024, we had approximately 117 record holders of our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8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71"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3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13"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As of December 31, 2023, the net proceeds from our IPO have been invested in U.S. treasury bills and corporate bonds. There has been no material change in the planned use of proceeds from the IPO from that described in the prospectus filed with the SEC pursuant to Rule 424(b)(4) under the Securities Act on June 21, 2021.</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of this Annual Report on Form 10-K.</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left="60" w:right="259"/>
        <w:spacing w:after="0" w:line="28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and our audited consolidated financial statements and the related notes thereto.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Annual Report on Form 10-K. You should review the disclosure under the heading “Risk Factors” herein for a discussion of important factors that could cause our actual results to differ materially from those anticipated in these forward-looking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and inflammatory diseases that we believe will allow us to overcome the limitations of first-generation cell therapies. We have created a comprehensive, genetically engineered allogeneic cell therapy platform that includes:</w:t>
      </w:r>
    </w:p>
    <w:p>
      <w:pPr>
        <w:spacing w:after="0" w:line="160" w:lineRule="exact"/>
        <w:rPr>
          <w:sz w:val="20"/>
          <w:szCs w:val="20"/>
          <w:color w:val="auto"/>
        </w:rPr>
      </w:pPr>
    </w:p>
    <w:p>
      <w:pPr>
        <w:ind w:left="1040" w:right="199" w:hanging="639"/>
        <w:spacing w:after="0" w:line="271"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Industry-leading induced pluripotent stem cells, or iPSCs and differentiated know-how to generate immune effector cells from iPSCs, or iPSC- derived cells;</w:t>
      </w:r>
    </w:p>
    <w:p>
      <w:pPr>
        <w:spacing w:after="0" w:line="140" w:lineRule="exact"/>
        <w:rPr>
          <w:rFonts w:ascii="Arial" w:cs="Arial" w:eastAsia="Arial" w:hAnsi="Arial"/>
          <w:sz w:val="18"/>
          <w:szCs w:val="18"/>
          <w:color w:val="auto"/>
        </w:rPr>
      </w:pPr>
    </w:p>
    <w:p>
      <w:pPr>
        <w:ind w:left="1040" w:right="359" w:hanging="639"/>
        <w:spacing w:after="0" w:line="253"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remove target genes intended to optimize cell product performance;</w:t>
      </w:r>
    </w:p>
    <w:p>
      <w:pPr>
        <w:spacing w:after="0" w:line="155" w:lineRule="exact"/>
        <w:rPr>
          <w:rFonts w:ascii="Arial" w:cs="Arial" w:eastAsia="Arial" w:hAnsi="Arial"/>
          <w:sz w:val="18"/>
          <w:szCs w:val="18"/>
          <w:color w:val="auto"/>
        </w:rPr>
      </w:pPr>
    </w:p>
    <w:p>
      <w:pPr>
        <w:ind w:left="1040" w:right="559" w:hanging="639"/>
        <w:spacing w:after="0" w:line="271"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32" w:lineRule="exact"/>
        <w:rPr>
          <w:rFonts w:ascii="Arial" w:cs="Arial" w:eastAsia="Arial" w:hAnsi="Arial"/>
          <w:sz w:val="18"/>
          <w:szCs w:val="18"/>
          <w:color w:val="auto"/>
        </w:rPr>
      </w:pPr>
    </w:p>
    <w:p>
      <w:pPr>
        <w:ind w:left="1040" w:right="159" w:hanging="639"/>
        <w:spacing w:after="0" w:line="212"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proprietary Allo-Evasion</w:t>
      </w:r>
      <w:r>
        <w:rPr>
          <w:rFonts w:ascii="Arial" w:cs="Arial" w:eastAsia="Arial" w:hAnsi="Arial"/>
          <w:sz w:val="26"/>
          <w:szCs w:val="26"/>
          <w:color w:val="231F20"/>
          <w:vertAlign w:val="superscript"/>
        </w:rPr>
        <w:t>TM</w:t>
      </w:r>
      <w:r>
        <w:rPr>
          <w:rFonts w:ascii="Arial" w:cs="Arial" w:eastAsia="Arial" w:hAnsi="Arial"/>
          <w:sz w:val="18"/>
          <w:szCs w:val="18"/>
          <w:color w:val="auto"/>
        </w:rPr>
        <w:t xml:space="preserve"> technology intended to prevent rejection of our cell products by the host immune system; and</w:t>
      </w:r>
    </w:p>
    <w:p>
      <w:pPr>
        <w:spacing w:after="0" w:line="167" w:lineRule="exact"/>
        <w:rPr>
          <w:rFonts w:ascii="Arial" w:cs="Arial" w:eastAsia="Arial" w:hAnsi="Arial"/>
          <w:sz w:val="18"/>
          <w:szCs w:val="18"/>
          <w:color w:val="auto"/>
        </w:rPr>
      </w:pPr>
    </w:p>
    <w:p>
      <w:pPr>
        <w:ind w:left="1040" w:hanging="63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and supply risk.</w:t>
      </w:r>
    </w:p>
    <w:p>
      <w:pPr>
        <w:spacing w:after="0" w:line="19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conducting our ELiPSE-1 clinical trial, undertaking preclinical studies and in-licensing intellectual property. All of our programs are currently in the development stage, and we do not have any products approved for sale. Since our inception, we have incurred net losses each year. We had an accumulated deficit of $655.9 million as of December 31, 2023. Substantially all of our losses have resulted from expenses incurred in connection with our research and development programs, the acquisition of in-process research and development and from general and administrative costs associated with our operations.</w:t>
      </w:r>
    </w:p>
    <w:p>
      <w:pPr>
        <w:spacing w:after="0" w:line="18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 as described below, and have not generated any revenues. Since our inception, we have raised approximately $591 million in net proceeds from sales of our equity securities. As of December 31, 2023, we had cash and cash equivalents of $47.3 million and investments of $214.5 million</w:t>
      </w:r>
    </w:p>
    <w:p>
      <w:pPr>
        <w:spacing w:after="0" w:line="18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August 2022, the FDA notified us that our ELiPSE-1 clinical trial may proceed to assess CNTY-101 in patients with relapsed or refractory CD19 positive B-cell malignancies. The Phase 1 trial, ELiPSE-1, is intended to assess the safety, tolerability, pharmacokinetics and preliminary efficacy of CNTY-101 in patients with relapsed or refractory CD19-positive B-cell malignancies. We have initiated our phase 1 trial and in February 2023, we began dosing patients in ELiPSE-1, evaluating CNTY-101. In November 2023, we announced preliminary clinical data from a case study of a patient participating in the ELiPSE-1 clinical trial. The patient, who received four prior lines of therapy, completed four 28-day cycles of CNTY-101 at the 100 million cell does level (Dose Level 1), the first two of which were administered following lymphodepletion while the most recent two were administered without lymphodepletion. CNTY-101 was well tolerated, with no measurable functional pre-existing or induced anti-drug-antibodies observed. Pharmacokinetic measurements</w:t>
      </w:r>
    </w:p>
    <w:p>
      <w:pPr>
        <w:spacing w:after="0" w:line="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demonstrated that CNTY-101 cells were detected after each infusion with comparable kinetics, with a limited duration in circulation. The patient achieved a complete response that was ongoing as of five months following their first CNTY-101 infusion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231F20"/>
        </w:rPr>
        <w:t>In addition, we announced on December 6, 2023 that we were notified by FDA that the Phase 1 clinical trial may proceed to assess CNTY-101 in patients with moderate to severe SLE who have failed at least two standard immunosuppressive therapies. We plan to initiate the CNTY-101 CALiPSO-1 trial in SLE in the first half of 2024, with initial data expected by the end of 2024.</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231F20"/>
        </w:rPr>
        <w:t>In January 2023, we announced a strategic internal portfolio prioritization through which, among other discovery efforts, CNTY-103, a CAR-iNK product targeting CD133 and a discovery program for hematological malignancies, were de-prioritized, allowing us to further prioritize our CNTY-102 and CNTY-107 product candidates, which we believe have a higher probability of technical success and greater market potential. As a result of the operational restructuring, lab operations in Seattle and Hamilton, Ontario, have been closed and research activities have been consolidated in Philadelphia.</w:t>
      </w:r>
    </w:p>
    <w:p>
      <w:pPr>
        <w:spacing w:after="0" w:line="17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Based on our current business plans and the January 2023 strategic reprioritization, we believe our cash, cash equivalents and investments as of December 31, 2023,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52" w:lineRule="exact"/>
        <w:rPr>
          <w:sz w:val="20"/>
          <w:szCs w:val="20"/>
          <w:color w:val="auto"/>
        </w:rPr>
      </w:pPr>
    </w:p>
    <w:p>
      <w:pPr>
        <w:ind w:left="4360" w:right="4099" w:hanging="3959"/>
        <w:spacing w:after="0" w:line="847" w:lineRule="auto"/>
        <w:tabs>
          <w:tab w:leader="none" w:pos="732"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continue to advance our iPSC cell therapy platforms;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199" w:hanging="319"/>
        <w:spacing w:after="0" w:line="270"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current good manufacturing practices, or cGMP, facilities;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97" w:lineRule="exact"/>
        <w:rPr>
          <w:rFonts w:ascii="Times New Roman" w:cs="Times New Roman" w:eastAsia="Times New Roman" w:hAnsi="Times New Roman"/>
          <w:sz w:val="18"/>
          <w:szCs w:val="18"/>
          <w:color w:val="auto"/>
        </w:rPr>
      </w:pPr>
    </w:p>
    <w:p>
      <w:pPr>
        <w:ind w:left="720" w:right="499" w:hanging="319"/>
        <w:spacing w:after="0" w:line="252" w:lineRule="auto"/>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7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and CNTY-107,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 two Collaboration Programs focused on acute myeloid leukemia, or AML, and multiple myeloma, or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or the License Option. Following Bristol-Myers Squibb’s exercise of the License Option, we will be responsible for performing IND-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8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74"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Reorganization.</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or the FCDI Collaboration Agreement, with FCDI pursuant to which we agreed to fund research and development work at FCDI pursuant to a research plan.</w:t>
      </w:r>
    </w:p>
    <w:p>
      <w:pPr>
        <w:spacing w:after="0" w:line="18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9 to our consolidated financial statements. Pursuant to the Letter Agreement, and in consideration for amending the FCDI Agreements, we agreed to pay to FCDI (i) an upfront payment of $10 million, (ii) a percentage of any milestone payments received by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6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Autoimmune License. Under the terms of the Autoimmune License, FCDI will be eligible to receive certain development and regulatory milestone payments as well as low single 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 In connection with the entry into the Autoimmune License and the amendments to the Reprogramming License and Differentiation License, we recorded an upfront payment in the amount of $4.0 million which is included as In-process research and development in the consolidated statements of operations and comprehensive loss for the year ended December 31, 2023. In addition, we paid FCDI a $1.0 million milestone fee pursuant to the Autoimmune License for filing of the IND for SLE for CNTY-101.</w:t>
      </w:r>
    </w:p>
    <w:p>
      <w:pPr>
        <w:spacing w:after="0" w:line="1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the years ended December 31, 2023 and 2022, we made payments of $5.2 million and $ 15.1 million and incurred research and development expenses of $0.0 and $ 4.9 million, in-process research and development expenses of $5.0 million and $10.0 million and legal fees of $0.2 million and $0.2 million, respectively, related to the FCDI agreements. The legal fees are recorded within general and administrative expenses in the consolidated statements of operations and comprehensive loss.</w:t>
      </w:r>
    </w:p>
    <w:p>
      <w:pPr>
        <w:spacing w:after="0" w:line="1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From inception of the FCDI Collaboration Agreement through December 31, 2023, we incurred $36.4 million of expenses under the FCDI Collaboration Agreement.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iCell and Distributed Bio</w:t>
      </w:r>
    </w:p>
    <w:p>
      <w:pPr>
        <w:spacing w:after="0" w:line="210"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We also have entered into a sublicense agreement with iCell Inc. and a master services agreement with Distributed Bio, Inc. See Note 11 to our consolidated financial statements.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1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To date, research and development expenses have related primarily to the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21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in 2022. See Note 9 to our consolidated financial statements. We incurred $5.0 million in license fees to FCDI in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reviewed our property and equipment related assets for impairment by comparing the carrying values of the assets with their estimated future undiscounted cash flows. An impairment charge was calculated as the difference between asset carrying values and fair value of discounted cash flows, indicative fair market quotes received are considered level three fair value estimates. We incurred $16.4 million in impairment during the year ended December 31, 2023.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The loan was repaid in full in May 2023. See Note 8 to our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10"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We have incurred losses and recorded a full valuation allowance on all of our net deferred tax assets. For the year ended December 31, 2023, we recorded $1.9 million in provisions for income taxes in the accompanying consolidated financial statements. The main drivers of the tax provision during the year ended December 31, 2023 are taxable revenue related to the Collaboration Agreement with Bristol-Myers Squibb and the limitation of deductions for research and development under Section 174 of the Internal Revenue Code.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years ended December 31, 2023 and 2022</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9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2023</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6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1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0"/>
                <w:szCs w:val="10"/>
                <w:color w:val="auto"/>
              </w:rPr>
            </w:pPr>
          </w:p>
        </w:tc>
        <w:tc>
          <w:tcPr>
            <w:tcW w:w="1280" w:type="dxa"/>
            <w:vAlign w:val="bottom"/>
            <w:gridSpan w:val="2"/>
          </w:tcPr>
          <w:p>
            <w:pPr>
              <w:spacing w:after="0" w:line="123" w:lineRule="exact"/>
              <w:rPr>
                <w:sz w:val="20"/>
                <w:szCs w:val="20"/>
                <w:color w:val="auto"/>
              </w:rPr>
            </w:pPr>
            <w:r>
              <w:rPr>
                <w:rFonts w:ascii="Arial" w:cs="Arial" w:eastAsia="Arial" w:hAnsi="Arial"/>
                <w:sz w:val="14"/>
                <w:szCs w:val="14"/>
                <w:color w:val="auto"/>
              </w:rPr>
              <w:t>(in thousands)</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396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5,199</w:t>
            </w:r>
          </w:p>
        </w:tc>
        <w:tc>
          <w:tcPr>
            <w:tcW w:w="34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92,710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97,173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line="202" w:lineRule="exact"/>
              <w:rPr>
                <w:sz w:val="20"/>
                <w:szCs w:val="20"/>
                <w:color w:val="auto"/>
              </w:rPr>
            </w:pPr>
            <w:r>
              <w:rPr>
                <w:rFonts w:ascii="Arial" w:cs="Arial" w:eastAsia="Arial" w:hAnsi="Arial"/>
                <w:sz w:val="18"/>
                <w:szCs w:val="18"/>
                <w:color w:val="auto"/>
              </w:rPr>
              <w:t>In-process research and development asset</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1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148,781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139,030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(146,546)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(133,831)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12,677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4,420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1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11,754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(134,792)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(130,841)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(136,673)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(130,932)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40" w:type="dxa"/>
            <w:vAlign w:val="bottom"/>
            <w:vMerge w:val="restart"/>
          </w:tcPr>
          <w:p>
            <w:pPr>
              <w:jc w:val="right"/>
              <w:ind w:right="390"/>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9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For the year ended December 31, 2023 and 2022, we recognized revenue of $2.2 and $5.2 million under our collaboration agreement with Bristol-Myers Squibb, respectively. Revenue recognized under the collaboration agreement fluctuates based on the amount and timing of expenses incurred under the agreement.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color w:val="auto"/>
              </w:rPr>
              <w:t>Year Ended</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86"/>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2140" w:type="dxa"/>
            <w:vAlign w:val="bottom"/>
            <w:gridSpan w:val="3"/>
          </w:tcPr>
          <w:p>
            <w:pPr>
              <w:ind w:left="880"/>
              <w:spacing w:after="0"/>
              <w:rPr>
                <w:sz w:val="20"/>
                <w:szCs w:val="20"/>
                <w:color w:val="auto"/>
              </w:rPr>
            </w:pPr>
            <w:r>
              <w:rPr>
                <w:rFonts w:ascii="Arial" w:cs="Arial" w:eastAsia="Arial" w:hAnsi="Arial"/>
                <w:sz w:val="14"/>
                <w:szCs w:val="14"/>
                <w:color w:val="auto"/>
              </w:rPr>
              <w:t>December 31, 2023</w:t>
            </w:r>
          </w:p>
        </w:tc>
        <w:tc>
          <w:tcPr>
            <w:tcW w:w="2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December 31,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color w:val="auto"/>
              </w:rPr>
              <w:t>Change</w:t>
            </w:r>
          </w:p>
        </w:tc>
      </w:tr>
      <w:tr>
        <w:trPr>
          <w:trHeight w:val="142"/>
        </w:trPr>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206"/>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41,826</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42,901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(1,075)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Facility and other allocated costs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24,411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16,759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7,652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laboratory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23,816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(4,639)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Collaborations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255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5,415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(5,160)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Consulting</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2,697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(1,458)</w:t>
            </w: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1,163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217</w:t>
            </w:r>
          </w:p>
        </w:tc>
      </w:tr>
      <w:tr>
        <w:trPr>
          <w:trHeight w:val="196"/>
        </w:trPr>
        <w:tc>
          <w:tcPr>
            <w:tcW w:w="42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92,710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97,173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(4,463)</w:t>
            </w:r>
          </w:p>
        </w:tc>
      </w:tr>
      <w:tr>
        <w:trPr>
          <w:trHeight w:val="20"/>
        </w:trPr>
        <w:tc>
          <w:tcPr>
            <w:tcW w:w="4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Research and development expenses were $92.7 million and $97.2 million for the years ended December 31, 2023 and 2022, respectively. The decrease of $4.5 million was primarily due to:</w:t>
      </w:r>
    </w:p>
    <w:p>
      <w:pPr>
        <w:spacing w:after="0" w:line="154" w:lineRule="exact"/>
        <w:rPr>
          <w:sz w:val="20"/>
          <w:szCs w:val="20"/>
          <w:color w:val="auto"/>
        </w:rPr>
      </w:pPr>
    </w:p>
    <w:p>
      <w:pPr>
        <w:ind w:left="720" w:right="79" w:hanging="319"/>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personnel-related expenses of $1.1 million, including a decrease in salary and benefits of $3.9 million primarily due to the January 2023 reduction in force. These expenses were offset by an increase in stock based compensation of $2.9 million;</w:t>
      </w:r>
    </w:p>
    <w:p>
      <w:pPr>
        <w:spacing w:after="0" w:line="170" w:lineRule="exact"/>
        <w:rPr>
          <w:rFonts w:ascii="Times New Roman" w:cs="Times New Roman" w:eastAsia="Times New Roman" w:hAnsi="Times New Roman"/>
          <w:sz w:val="18"/>
          <w:szCs w:val="18"/>
          <w:color w:val="auto"/>
        </w:rPr>
      </w:pPr>
    </w:p>
    <w:p>
      <w:pPr>
        <w:ind w:left="720" w:right="579" w:hanging="319"/>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research and laboratory costs of $4.6 million due to our 2023 reorganization and reprioritization of early-stage programs and discovery platforms as well as a decline in sponsored research activities;</w:t>
      </w:r>
    </w:p>
    <w:p>
      <w:pPr>
        <w:spacing w:after="0" w:line="170"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$5.2 million related to our collaboration with FCDI. The decline was due to in process development work being completed in 2022 as the scope of work with FCDI has narrowed down to primarily manufacturing CNTY-101 clinical supply for us;</w:t>
      </w:r>
    </w:p>
    <w:p>
      <w:pPr>
        <w:spacing w:after="0" w:line="170"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consulting of $1.5 million which was primarily due to reduced reliance on consultants year over year; and</w:t>
      </w:r>
    </w:p>
    <w:p>
      <w:pPr>
        <w:spacing w:after="0" w:line="154" w:lineRule="exact"/>
        <w:rPr>
          <w:rFonts w:ascii="Times New Roman" w:cs="Times New Roman" w:eastAsia="Times New Roman" w:hAnsi="Times New Roman"/>
          <w:sz w:val="18"/>
          <w:szCs w:val="18"/>
          <w:color w:val="auto"/>
        </w:rPr>
      </w:pPr>
    </w:p>
    <w:p>
      <w:pPr>
        <w:ind w:left="720" w:right="159" w:hanging="319"/>
        <w:spacing w:after="0" w:line="246"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these decreases were offset by an increase of $7.7 million of facility and other allocated costs, including an increase in depreciation expense of $4.8 million, an increase in rent of $0.7 million and an increase in facility services and supplies of $2.2 million as a result of our geographic footprint for office and lab space.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0"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General and administrative expenses were $34.7 million and $ 31.9 million for the years ended December 31, 2023 and 2022, respectively. The increase of $2.8 million was primarily due to one-time charges associated with the reduction in force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In-process research and development expenses were $5.0 million and $10.0 million for the years ended December 31, 2023 and 2022, respectively. In 2023, $4.0 million was a result of entering into a worldwide license agreement whereby FCDI will grant non-exclusive licenses to us for certain patent rights and know-how related to cell differentiation and reprogramming for the development and commercialization of IPSC-derived therapies for treatment of inflammatory and autoimmune diseases, and $ 1.0 million related to a milestone fee paid pursuant to the Autoimmune License for filing of the IND for SLE for CNTY-101. In 2022, the $10.0 million expense was a direct result of the execution of the Collaboration Agreement with Bristol-Myers Squibb, we incurred $10.0 million in fees to amend the FCDI agreement to gain access to the territory rights of Japan. See Note 9 to our consolidated financial statements.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on long-lived assets</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Impairment on long-lived assets were $16.4 million and $0.0 for the year ended December 31, 2023 and 2022, respectively. In 2023, this was a result of consolidating our leased lab facilities in Philadelphia. We concluded we would exit multiple leases early and as a result we completed an impairment analysis of our asset group related to this lease along with the related property and equipment at this facility. We reviewed the asset group for impairment following Financial Accounting Standards Board’s Accounting Standards Codification, or ASC 360 for Property, Plant, and Equipment. We evaluated its long-lived assets for recoverability due to changes in circumstances that indicated that the carry amounts may not be recoverable.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Interest expense was $0.5 million and $1.4 million for the years ended December 31, 2023 and 2022, respectively, which related to our Loan Agreement with Hercules. On May 1, 2023, we repaid the loan in its entirety and thus expect our interest expenses to decrease accordingly in subsequent periods.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Interest income was $12.7 million and $4.4 million for the years ended December 31, 2023 and 2022, respectively, which related to interest earned on our cash, cash equivalents, and investment balances. The increase in our interest income was due to higher interest rates earned on average balances of cash, cash equivalents and investments.</w:t>
      </w:r>
    </w:p>
    <w:p>
      <w:pPr>
        <w:spacing w:after="0" w:line="133"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59"/>
        <w:spacing w:after="0" w:line="256" w:lineRule="auto"/>
        <w:rPr>
          <w:sz w:val="20"/>
          <w:szCs w:val="20"/>
          <w:color w:val="auto"/>
        </w:rPr>
      </w:pPr>
      <w:r>
        <w:rPr>
          <w:rFonts w:ascii="Arial" w:cs="Arial" w:eastAsia="Arial" w:hAnsi="Arial"/>
          <w:sz w:val="17"/>
          <w:szCs w:val="17"/>
          <w:color w:val="auto"/>
        </w:rPr>
        <w:t>To date, we have funded our operations from the issuance and sale of our equity securities, debt financing and collaboration revenues. Since our inception, we have raised approximately $591 million in net proceeds from the sales of our equity securities. As of December 31, 2023, we had cash, and cash equivalents of $47.3 million and investments of $214.5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$655.9 million as of December 31, 2023.</w:t>
      </w:r>
    </w:p>
    <w:p>
      <w:pPr>
        <w:spacing w:after="0" w:line="168"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During the fiscal year ended December 31, 2023, there were no sales made under the Sales Agreement. In the first quarter of 2024, 4,084,502 shares of common stock have been issued and sold pursuant to the Sales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Agreement at a weighted-average price of $4.50 per share, resulting in approximately $18.4 million in gross proceeds.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18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720" w:right="239" w:hanging="319"/>
        <w:spacing w:after="0" w:line="270"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979" w:hanging="319"/>
        <w:spacing w:after="0" w:line="270"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any of our current and future product candidates;</w:t>
      </w:r>
    </w:p>
    <w:p>
      <w:pPr>
        <w:spacing w:after="0" w:line="235" w:lineRule="exact"/>
        <w:rPr>
          <w:rFonts w:ascii="Times New Roman" w:cs="Times New Roman" w:eastAsia="Times New Roman" w:hAnsi="Times New Roman"/>
          <w:sz w:val="17"/>
          <w:szCs w:val="17"/>
          <w:color w:val="auto"/>
        </w:rPr>
      </w:pPr>
    </w:p>
    <w:p>
      <w:pPr>
        <w:ind w:left="720" w:right="1019" w:hanging="319"/>
        <w:spacing w:after="0" w:line="270"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76"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70"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224"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the COVID-19 pandemic,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78"/>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96"/>
              <w:spacing w:after="0"/>
              <w:rPr>
                <w:sz w:val="20"/>
                <w:szCs w:val="20"/>
                <w:color w:val="auto"/>
              </w:rPr>
            </w:pPr>
            <w:r>
              <w:rPr>
                <w:rFonts w:ascii="Arial" w:cs="Arial" w:eastAsia="Arial" w:hAnsi="Arial"/>
                <w:sz w:val="14"/>
                <w:szCs w:val="14"/>
                <w:color w:val="auto"/>
              </w:rPr>
              <w:t>Year ended</w:t>
            </w:r>
          </w:p>
        </w:tc>
      </w:tr>
      <w:tr>
        <w:trPr>
          <w:trHeight w:val="171"/>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December 31, 2023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December 31, 2022</w:t>
            </w:r>
          </w:p>
        </w:tc>
      </w:tr>
      <w:tr>
        <w:trPr>
          <w:trHeight w:val="142"/>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4"/>
          </w:tcPr>
          <w:p>
            <w:pPr>
              <w:jc w:val="right"/>
              <w:ind w:right="1116"/>
              <w:spacing w:after="0" w:line="142" w:lineRule="exact"/>
              <w:rPr>
                <w:sz w:val="20"/>
                <w:szCs w:val="20"/>
                <w:color w:val="auto"/>
              </w:rPr>
            </w:pPr>
            <w:r>
              <w:rPr>
                <w:rFonts w:ascii="Arial" w:cs="Arial" w:eastAsia="Arial" w:hAnsi="Arial"/>
                <w:sz w:val="14"/>
                <w:szCs w:val="14"/>
                <w:color w:val="auto"/>
              </w:rPr>
              <w:t>(in thousands)</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(88,348)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14,052</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(13,128)</w:t>
            </w:r>
          </w:p>
        </w:tc>
      </w:tr>
      <w:tr>
        <w:trPr>
          <w:trHeight w:val="203"/>
        </w:trPr>
        <w:tc>
          <w:tcPr>
            <w:tcW w:w="5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(9,725)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27,158</w:t>
            </w:r>
          </w:p>
        </w:tc>
      </w:tr>
      <w:tr>
        <w:trPr>
          <w:trHeight w:val="196"/>
        </w:trPr>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(36,941)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28,082</w:t>
            </w:r>
          </w:p>
        </w:tc>
      </w:tr>
      <w:tr>
        <w:trPr>
          <w:trHeight w:val="20"/>
        </w:trPr>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Net cash (used in) provided by operating activities was ($88.3) million and $14.1 million for the years ended December 31, 2023 and 2022, respectively. Net cash (used in) operating activities during the year ended December 31, 2023 consisted primarily of a net loss of $136.7 million. The non-cash charges of $38.9 million consisted primarily of $13.0 million for depreciation, stock-based compensation expense of $14.6 million, and impairment of long lived assets of $16.4 million. Changes in operating lease liability of $1.2 million, net were primarily driven by the receipt of $11.9 million of tenant reimbursement.</w:t>
      </w:r>
    </w:p>
    <w:p>
      <w:pPr>
        <w:spacing w:after="0" w:line="20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Net cash provided by operating activities was $ 14.1 million for the year ended December 31, 2022. Net cash provided by operating activities during the year ended December 31, 2022 consisted primarily of an increase in deferred revenues of $118.0 million from our collaboration agreement with Bristol-Myers Squibb, an increase in accrued expenses of $ 4.0 million, an increase in operating lease liability of $5.3 million, and an increase of non-cash charges of $20.9 million. The non-cash charges of $20.9 million consisted primarily of $10.7 million of stock-based compensation expense, depreciation expense of $8.4 million, and operating lease expense of $1.6 million. This increase was partially offset by our net loss of $130.9 million and net cash outflows from decreases in our accounts payable of $4.8 million.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Cash provided by (used in) investing activities was $61.1 million and ($13.1) million for the years ended December 31, 2023 and 2022, respectively. Cash provided by investing activities for the year ended December 31, 2023 consisted primarily of the sale of fixed maturity securities of $283.9 million, which was partially offset by purchases of fixed maturity securities of $212.7 million and acquisition of property and equipment of $13.7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279"/>
        <w:spacing w:after="0" w:line="275" w:lineRule="auto"/>
        <w:rPr>
          <w:sz w:val="20"/>
          <w:szCs w:val="20"/>
          <w:color w:val="auto"/>
        </w:rPr>
      </w:pPr>
      <w:r>
        <w:rPr>
          <w:rFonts w:ascii="Arial" w:cs="Arial" w:eastAsia="Arial" w:hAnsi="Arial"/>
          <w:sz w:val="17"/>
          <w:szCs w:val="17"/>
          <w:color w:val="auto"/>
        </w:rPr>
        <w:t>Cash (used in) investing activities for the year ended December 31, 2022 was ($13.1) million which consisted primarily of net purchases of investments of $ 254 million, and purchases of property and equipment of $30.6 million, which was partially offset by net sales of fixed maturity securities of $271.5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Cash (used in) provided by financing activities was ($9.7) million and $27.2 million for the years ended December 31, 2023 and 2022, respectively. Cash (used in) financing activities for the year ended December 31, 2023 consisted of $10.2 million for payments on long-term debt, partially offset by $0.5 million from issuance of our common stock from equity incentive plans pursuant to the exercise of employee stock options and purchases through the Employee Stock Purchase Plan, or ESPP.</w:t>
      </w:r>
    </w:p>
    <w:p>
      <w:pPr>
        <w:spacing w:after="0" w:line="176" w:lineRule="exact"/>
        <w:rPr>
          <w:sz w:val="20"/>
          <w:szCs w:val="20"/>
          <w:color w:val="auto"/>
        </w:rPr>
      </w:pPr>
    </w:p>
    <w:p>
      <w:pPr>
        <w:ind w:left="60" w:right="379"/>
        <w:spacing w:after="0" w:line="275" w:lineRule="auto"/>
        <w:rPr>
          <w:sz w:val="20"/>
          <w:szCs w:val="20"/>
          <w:color w:val="auto"/>
        </w:rPr>
      </w:pPr>
      <w:r>
        <w:rPr>
          <w:rFonts w:ascii="Arial" w:cs="Arial" w:eastAsia="Arial" w:hAnsi="Arial"/>
          <w:sz w:val="17"/>
          <w:szCs w:val="17"/>
          <w:color w:val="auto"/>
        </w:rPr>
        <w:t>Cash provided by financing activities for the year ended December 31, 2022 consisted primarily of proceeds from issuance of shares to Bristol-Myers Squibb for $26.8 million, and proceeds from issuance of common stock of $0.3 million from equity incentive plans pursuant to the exercise of employee stock options.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2023:</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6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2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9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100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26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2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leases</w:t>
            </w:r>
          </w:p>
        </w:tc>
        <w:tc>
          <w:tcPr>
            <w:tcW w:w="19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$ 7,811</w:t>
            </w:r>
          </w:p>
        </w:tc>
        <w:tc>
          <w:tcPr>
            <w:tcW w:w="10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$ 16,812</w:t>
            </w:r>
          </w:p>
        </w:tc>
        <w:tc>
          <w:tcPr>
            <w:tcW w:w="9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$ 16,876</w:t>
            </w:r>
          </w:p>
        </w:tc>
        <w:tc>
          <w:tcPr>
            <w:tcW w:w="4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44,098</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$ 85,597</w:t>
            </w:r>
          </w:p>
        </w:tc>
      </w:tr>
    </w:tbl>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December 31, 2023 are contingent upon future events such as our achievement of pre-specified development, regulatory, and commercial milestones, or royalties on net product sales. As of December 31, 2023,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 Our leases have initial lease terms ranging from 5 to 16 years.</w:t>
      </w:r>
    </w:p>
    <w:p>
      <w:pPr>
        <w:spacing w:after="0" w:line="18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consolidated financial statements for additional information.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76" w:lineRule="exact"/>
        <w:rPr>
          <w:sz w:val="20"/>
          <w:szCs w:val="20"/>
          <w:color w:val="auto"/>
        </w:rPr>
      </w:pPr>
    </w:p>
    <w:p>
      <w:pPr>
        <w:ind w:left="720" w:right="299" w:hanging="319"/>
        <w:spacing w:after="0" w:line="270" w:lineRule="auto"/>
        <w:tabs>
          <w:tab w:leader="none" w:pos="72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359" w:hanging="319"/>
        <w:spacing w:after="0" w:line="252"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0"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80"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60" w:right="239" w:hanging="10"/>
        <w:spacing w:after="0" w:line="248"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standard applies to all contracts with customers. When an agreement falls under the scope of other 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w:t>
      </w:r>
    </w:p>
    <w:p>
      <w:pPr>
        <w:spacing w:after="0" w:line="2" w:lineRule="exact"/>
        <w:rPr>
          <w:rFonts w:ascii="Arial" w:cs="Arial" w:eastAsia="Arial" w:hAnsi="Arial"/>
          <w:sz w:val="17"/>
          <w:szCs w:val="17"/>
          <w:color w:val="auto"/>
        </w:rPr>
      </w:pPr>
    </w:p>
    <w:p>
      <w:pPr>
        <w:ind w:left="400" w:hanging="350"/>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 recorded as collaboration revenue on the statements of operations.</w:t>
      </w:r>
    </w:p>
    <w:p>
      <w:pPr>
        <w:spacing w:after="0" w:line="8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our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7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7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obligations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68"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185"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We expense costs for our clinical trial activities performed by third parties, including clinical research organizations and other service providers, as they are incurred, based upon estimates of the work completed over the life of the individual study in accordance with associated agreements. We use information it receives from internal personnel and outside service providers to estimate the clinical trial costs incurred.</w:t>
      </w:r>
    </w:p>
    <w:p>
      <w:pPr>
        <w:spacing w:after="0" w:line="17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w:t>
      </w:r>
    </w:p>
    <w:p>
      <w:pPr>
        <w:spacing w:after="0" w:line="169" w:lineRule="exact"/>
        <w:rPr>
          <w:sz w:val="20"/>
          <w:szCs w:val="20"/>
          <w:color w:val="auto"/>
        </w:rPr>
      </w:pPr>
    </w:p>
    <w:p>
      <w:pPr>
        <w:ind w:left="60" w:right="159" w:firstLine="50"/>
        <w:spacing w:after="0" w:line="266" w:lineRule="auto"/>
        <w:rPr>
          <w:sz w:val="20"/>
          <w:szCs w:val="20"/>
          <w:color w:val="auto"/>
        </w:rPr>
      </w:pPr>
      <w:r>
        <w:rPr>
          <w:rFonts w:ascii="Arial" w:cs="Arial" w:eastAsia="Arial" w:hAnsi="Arial"/>
          <w:sz w:val="17"/>
          <w:szCs w:val="17"/>
          <w:color w:val="auto"/>
        </w:rPr>
        <w:t>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159"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The Black-Scholes option pricing model requires the use of highly subjective assumptions to determine the fair value of stock-based awards. These assumptions include:</w:t>
      </w:r>
    </w:p>
    <w:p>
      <w:pPr>
        <w:spacing w:after="0" w:line="154" w:lineRule="exact"/>
        <w:rPr>
          <w:sz w:val="20"/>
          <w:szCs w:val="20"/>
          <w:color w:val="auto"/>
        </w:rPr>
      </w:pPr>
    </w:p>
    <w:p>
      <w:pPr>
        <w:ind w:left="720" w:right="199" w:hanging="319"/>
        <w:spacing w:after="0" w:line="239" w:lineRule="auto"/>
        <w:tabs>
          <w:tab w:leader="none" w:pos="7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Fair Value of Common Stock-After our IPO in June 2021, the fair value of stock-based awards was determined on the grant date using the closing price of our common stock. As there was no public market for our common stock before the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Third-party valuations of our common stock were performed in accordance with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279"/>
        <w:spacing w:after="0" w:line="271" w:lineRule="auto"/>
        <w:rPr>
          <w:sz w:val="20"/>
          <w:szCs w:val="20"/>
          <w:color w:val="auto"/>
        </w:rPr>
      </w:pPr>
      <w:r>
        <w:rPr>
          <w:rFonts w:ascii="Arial" w:cs="Arial" w:eastAsia="Arial" w:hAnsi="Arial"/>
          <w:sz w:val="18"/>
          <w:szCs w:val="18"/>
          <w:color w:val="auto"/>
        </w:rPr>
        <w:t>guidance outlined in the American Institute of Certified Public Accountants’ Accounting and Valuation Guide, Valuation of Privately-Held-Company Equity Securities Issued as Compensation.</w:t>
      </w:r>
    </w:p>
    <w:p>
      <w:pPr>
        <w:spacing w:after="0" w:line="154" w:lineRule="exact"/>
        <w:rPr>
          <w:sz w:val="20"/>
          <w:szCs w:val="20"/>
          <w:color w:val="auto"/>
        </w:rPr>
      </w:pPr>
    </w:p>
    <w:p>
      <w:pPr>
        <w:ind w:left="720" w:right="79" w:hanging="319"/>
        <w:spacing w:after="0" w:line="252" w:lineRule="auto"/>
        <w:tabs>
          <w:tab w:leader="none" w:pos="7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170" w:lineRule="exact"/>
        <w:rPr>
          <w:rFonts w:ascii="Times New Roman" w:cs="Times New Roman" w:eastAsia="Times New Roman" w:hAnsi="Times New Roman"/>
          <w:sz w:val="18"/>
          <w:szCs w:val="18"/>
          <w:color w:val="auto"/>
        </w:rPr>
      </w:pPr>
    </w:p>
    <w:p>
      <w:pPr>
        <w:ind w:left="720" w:right="319" w:hanging="319"/>
        <w:spacing w:after="0" w:line="242" w:lineRule="auto"/>
        <w:tabs>
          <w:tab w:leader="none" w:pos="7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Volatility—Due to lack of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 specialty. Starting in June of 2023, we had sufficient historical information regarding stock trading history, and started to use our own stock volatility.</w:t>
      </w:r>
    </w:p>
    <w:p>
      <w:pPr>
        <w:spacing w:after="0" w:line="177" w:lineRule="exact"/>
        <w:rPr>
          <w:rFonts w:ascii="Times New Roman" w:cs="Times New Roman" w:eastAsia="Times New Roman" w:hAnsi="Times New Roman"/>
          <w:sz w:val="18"/>
          <w:szCs w:val="18"/>
          <w:color w:val="auto"/>
        </w:rPr>
      </w:pPr>
    </w:p>
    <w:p>
      <w:pPr>
        <w:jc w:val="both"/>
        <w:ind w:left="720" w:right="199" w:hanging="319"/>
        <w:spacing w:after="0" w:line="252" w:lineRule="auto"/>
        <w:tabs>
          <w:tab w:leader="none" w:pos="7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170"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We have never paid dividends on our common stock and have no plans to pay dividends on our common stock. Therefore, we used an expected dividend yield of zero.</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and liquidity risk</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had cash, cash equivalents, and restricted cash of $ 49.3 million as of December 31, 2023, which consisted of bank deposits and money market funds. We also had investments of $214.5 million as of December 31, 2023.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65"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In addition, we are subject to liquidity risk. In early 2023, several financial institutions closed and were taken in receivership by the Federal Deposit Insurance Corporation, or FDIC, including Silicon Valley Bank, or SVB. At the time the FDIC was appointed receiver, we had deposit, sweep and other accounts at SVB, which represented less than 1% of our total cash, cash equivalents, restricted cash and investments. We have established a redundant operating account with a major U.S. banking institution.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2"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 industry in general, could adversely affect our ability to access our cash and cash equivalents.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0"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74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360" w:type="dxa"/>
            <w:vAlign w:val="bottom"/>
          </w:tcPr>
          <w:p>
            <w:pPr>
              <w:spacing w:after="0"/>
              <w:rPr>
                <w:sz w:val="24"/>
                <w:szCs w:val="24"/>
                <w:color w:val="auto"/>
              </w:rPr>
            </w:pPr>
          </w:p>
        </w:tc>
        <w:tc>
          <w:tcPr>
            <w:tcW w:w="538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99"/>
              </w:rPr>
              <w:t>CENTURY THERAPEUTICS,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60" w:type="dxa"/>
            <w:vAlign w:val="bottom"/>
          </w:tcPr>
          <w:p>
            <w:pPr>
              <w:spacing w:after="0"/>
              <w:rPr>
                <w:sz w:val="24"/>
                <w:szCs w:val="24"/>
                <w:color w:val="auto"/>
              </w:rPr>
            </w:pPr>
          </w:p>
        </w:tc>
        <w:tc>
          <w:tcPr>
            <w:tcW w:w="5380" w:type="dxa"/>
            <w:vAlign w:val="bottom"/>
            <w:gridSpan w:val="6"/>
          </w:tcPr>
          <w:p>
            <w:pPr>
              <w:jc w:val="center"/>
              <w:ind w:right="122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7"/>
            <w:vMerge w:val="restart"/>
          </w:tcPr>
          <w:p>
            <w:pPr>
              <w:spacing w:after="0"/>
              <w:rPr>
                <w:sz w:val="20"/>
                <w:szCs w:val="20"/>
                <w:color w:val="auto"/>
              </w:rPr>
            </w:pPr>
            <w:r>
              <w:rPr>
                <w:rFonts w:ascii="Arial" w:cs="Arial" w:eastAsia="Arial" w:hAnsi="Arial"/>
                <w:sz w:val="18"/>
                <w:szCs w:val="18"/>
                <w:color w:val="0000EE"/>
              </w:rPr>
              <w:t>Report of Ernst &amp; Young, LLP, Independent Registered Public Accounting Firm</w:t>
            </w:r>
            <w:r>
              <w:rPr>
                <w:rFonts w:ascii="Arial" w:cs="Arial" w:eastAsia="Arial" w:hAnsi="Arial"/>
                <w:sz w:val="18"/>
                <w:szCs w:val="18"/>
                <w:color w:val="000000"/>
              </w:rPr>
              <w:t>, Philadelphia,</w:t>
            </w:r>
          </w:p>
        </w:tc>
        <w:tc>
          <w:tcPr>
            <w:tcW w:w="1140" w:type="dxa"/>
            <w:vAlign w:val="bottom"/>
          </w:tcPr>
          <w:p>
            <w:pPr>
              <w:jc w:val="center"/>
              <w:ind w:left="27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7"/>
        </w:trPr>
        <w:tc>
          <w:tcPr>
            <w:tcW w:w="7740" w:type="dxa"/>
            <w:vAlign w:val="bottom"/>
            <w:gridSpan w:val="7"/>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62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Pennsylvania, (PCAOB ID:42)</w:t>
            </w:r>
          </w:p>
        </w:tc>
        <w:tc>
          <w:tcPr>
            <w:tcW w:w="1500" w:type="dxa"/>
            <w:vAlign w:val="bottom"/>
          </w:tcPr>
          <w:p>
            <w:pPr>
              <w:spacing w:after="0"/>
              <w:rPr>
                <w:sz w:val="21"/>
                <w:szCs w:val="21"/>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4"/>
        </w:trPr>
        <w:tc>
          <w:tcPr>
            <w:tcW w:w="2360" w:type="dxa"/>
            <w:vAlign w:val="bottom"/>
            <w:tcBorders>
              <w:bottom w:val="single" w:sz="8" w:color="0000EE"/>
            </w:tcBorders>
          </w:tcPr>
          <w:p>
            <w:pPr>
              <w:spacing w:after="0" w:line="195" w:lineRule="exact"/>
              <w:rPr>
                <w:sz w:val="20"/>
                <w:szCs w:val="20"/>
                <w:color w:val="auto"/>
              </w:rPr>
            </w:pPr>
            <w:r>
              <w:rPr>
                <w:rFonts w:ascii="Arial" w:cs="Arial" w:eastAsia="Arial" w:hAnsi="Arial"/>
                <w:sz w:val="18"/>
                <w:szCs w:val="18"/>
                <w:color w:val="0000EE"/>
                <w:w w:val="99"/>
              </w:rPr>
              <w:t>Consolidated Balance Sheets</w:t>
            </w:r>
          </w:p>
        </w:tc>
        <w:tc>
          <w:tcPr>
            <w:tcW w:w="5380" w:type="dxa"/>
            <w:vAlign w:val="bottom"/>
            <w:gridSpan w:val="6"/>
          </w:tcPr>
          <w:p>
            <w:pPr>
              <w:spacing w:after="0"/>
              <w:rPr>
                <w:sz w:val="16"/>
                <w:szCs w:val="16"/>
                <w:color w:val="auto"/>
              </w:rPr>
            </w:pPr>
          </w:p>
        </w:tc>
        <w:tc>
          <w:tcPr>
            <w:tcW w:w="114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9"/>
        </w:trPr>
        <w:tc>
          <w:tcPr>
            <w:tcW w:w="774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Loss</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10"/>
        </w:trPr>
        <w:tc>
          <w:tcPr>
            <w:tcW w:w="5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Consolidated Statements of Changes in Stockholders’ Equity</w:t>
            </w:r>
          </w:p>
        </w:tc>
        <w:tc>
          <w:tcPr>
            <w:tcW w:w="2520" w:type="dxa"/>
            <w:vAlign w:val="bottom"/>
            <w:gridSpan w:val="2"/>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9"/>
        </w:trPr>
        <w:tc>
          <w:tcPr>
            <w:tcW w:w="3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Consolidated Statements of Cash Flows</w:t>
            </w:r>
          </w:p>
        </w:tc>
        <w:tc>
          <w:tcPr>
            <w:tcW w:w="1640" w:type="dxa"/>
            <w:vAlign w:val="bottom"/>
            <w:tcBorders>
              <w:top w:val="single" w:sz="8" w:color="0000EE"/>
            </w:tcBorders>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240" w:type="dxa"/>
            <w:vAlign w:val="bottom"/>
            <w:gridSpan w:val="4"/>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9"/>
          <w:szCs w:val="19"/>
          <w:color w:val="auto"/>
        </w:rPr>
        <w:t>To the Shareholders and the Board of Directors of Century Therapeutics, Inc.</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Opinion on the Financial Statements</w:t>
      </w:r>
    </w:p>
    <w:p>
      <w:pPr>
        <w:spacing w:after="0" w:line="214" w:lineRule="exact"/>
        <w:rPr>
          <w:sz w:val="20"/>
          <w:szCs w:val="20"/>
          <w:color w:val="auto"/>
        </w:rPr>
      </w:pPr>
    </w:p>
    <w:p>
      <w:pPr>
        <w:ind w:left="60" w:right="379"/>
        <w:spacing w:after="0" w:line="242" w:lineRule="auto"/>
        <w:rPr>
          <w:sz w:val="20"/>
          <w:szCs w:val="20"/>
          <w:color w:val="auto"/>
        </w:rPr>
      </w:pPr>
      <w:r>
        <w:rPr>
          <w:rFonts w:ascii="Arial" w:cs="Arial" w:eastAsia="Arial" w:hAnsi="Arial"/>
          <w:sz w:val="19"/>
          <w:szCs w:val="19"/>
          <w:color w:val="auto"/>
        </w:rPr>
        <w:t>We have audited the accompanying consolidated balance sheets of Century Therapeutics, Inc. (the Company) as of December 31, 2023 and 2022, the related consolidated statements of operations and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Basis for Opinion</w:t>
      </w:r>
    </w:p>
    <w:p>
      <w:pPr>
        <w:spacing w:after="0" w:line="214" w:lineRule="exact"/>
        <w:rPr>
          <w:sz w:val="20"/>
          <w:szCs w:val="20"/>
          <w:color w:val="auto"/>
        </w:rPr>
      </w:pPr>
    </w:p>
    <w:p>
      <w:pPr>
        <w:ind w:left="60" w:right="99"/>
        <w:spacing w:after="0" w:line="24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60" w:right="159"/>
        <w:spacing w:after="0" w:line="24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ind w:left="60" w:right="339"/>
        <w:spacing w:after="0" w:line="243"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Ernst &amp; Young LLP</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We have served as the Company’s auditor since 2019.</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Philadelphia, Pennsylvania</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and per share amounts)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December 31, 2023</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22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47,324</w:t>
            </w:r>
          </w:p>
        </w:tc>
        <w:tc>
          <w:tcPr>
            <w:tcW w:w="260" w:type="dxa"/>
            <w:vAlign w:val="bottom"/>
          </w:tcPr>
          <w:p>
            <w:pPr>
              <w:spacing w:after="0"/>
              <w:rPr>
                <w:sz w:val="11"/>
                <w:szCs w:val="11"/>
                <w:color w:val="auto"/>
              </w:rPr>
            </w:pPr>
          </w:p>
        </w:tc>
        <w:tc>
          <w:tcPr>
            <w:tcW w:w="1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84,265</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Short-term investments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125,414</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231,233</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Escrow deposits, current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4,256</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4,003</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color w:val="auto"/>
              </w:rPr>
              <w:t>Total current assets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3"/>
                <w:szCs w:val="13"/>
                <w:color w:val="auto"/>
              </w:rPr>
              <w:t>176,994</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3"/>
                <w:szCs w:val="13"/>
                <w:color w:val="auto"/>
              </w:rPr>
              <w:t>319,721</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71,705</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82,785</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Operating lease right-of-use assets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20,376</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28,945</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Restricted cash</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Long-term investments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89,096</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51,854</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Security deposits and non-current assets</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541</w:t>
            </w: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1,260</w:t>
            </w:r>
          </w:p>
        </w:tc>
        <w:tc>
          <w:tcPr>
            <w:tcW w:w="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assets</w:t>
            </w:r>
          </w:p>
        </w:tc>
        <w:tc>
          <w:tcPr>
            <w:tcW w:w="2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7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Accounts payable</w:t>
            </w:r>
          </w:p>
        </w:tc>
        <w:tc>
          <w:tcPr>
            <w:tcW w:w="22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2,741</w:t>
            </w:r>
          </w:p>
        </w:tc>
        <w:tc>
          <w:tcPr>
            <w:tcW w:w="260" w:type="dxa"/>
            <w:vAlign w:val="bottom"/>
          </w:tcPr>
          <w:p>
            <w:pPr>
              <w:spacing w:after="0"/>
              <w:rPr>
                <w:sz w:val="11"/>
                <w:szCs w:val="11"/>
                <w:color w:val="auto"/>
              </w:rPr>
            </w:pPr>
          </w:p>
        </w:tc>
        <w:tc>
          <w:tcPr>
            <w:tcW w:w="1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5,454</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expenses and other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10,149</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9,841</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Deposit liability</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584</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866</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Long-term debt, current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6,502</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Deferred revenue, current</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4,372</w:t>
            </w: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7,154</w:t>
            </w:r>
          </w:p>
        </w:tc>
        <w:tc>
          <w:tcPr>
            <w:tcW w:w="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current liabilities</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17,846</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29,817</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Operating lease liability, long term</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46,658</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38,698</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Deposit liability, non-current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718</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revenue, non-current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111,381</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110,834</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Long-term debt, net</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3,739</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72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b w:val="1"/>
                <w:bCs w:val="1"/>
                <w:color w:val="auto"/>
              </w:rPr>
              <w:t>Total liabilities</w:t>
            </w:r>
          </w:p>
        </w:tc>
        <w:tc>
          <w:tcPr>
            <w:tcW w:w="2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175,941</w:t>
            </w:r>
          </w:p>
        </w:tc>
        <w:tc>
          <w:tcPr>
            <w:tcW w:w="2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183,806</w:t>
            </w:r>
          </w:p>
        </w:tc>
        <w:tc>
          <w:tcPr>
            <w:tcW w:w="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Commitments and contingencies (Note 10)</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Stockholders' equity:</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00" w:type="dxa"/>
            <w:vAlign w:val="bottom"/>
            <w:gridSpan w:val="3"/>
          </w:tcPr>
          <w:p>
            <w:pPr>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020" w:type="dxa"/>
            <w:vAlign w:val="bottom"/>
            <w:gridSpan w:val="4"/>
          </w:tcPr>
          <w:p>
            <w:pPr>
              <w:spacing w:after="0"/>
              <w:rPr>
                <w:sz w:val="20"/>
                <w:szCs w:val="20"/>
                <w:color w:val="auto"/>
              </w:rPr>
            </w:pPr>
            <w:r>
              <w:rPr>
                <w:rFonts w:ascii="Arial" w:cs="Arial" w:eastAsia="Arial" w:hAnsi="Arial"/>
                <w:sz w:val="13"/>
                <w:szCs w:val="13"/>
                <w:color w:val="auto"/>
              </w:rPr>
              <w:t>issued and outstanding at December 31, 2023 and December 31, 2022</w:t>
            </w:r>
          </w:p>
        </w:tc>
        <w:tc>
          <w:tcPr>
            <w:tcW w:w="1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Common stock, $0.0001 par value, 125,236,190</w:t>
            </w:r>
          </w:p>
        </w:tc>
        <w:tc>
          <w:tcPr>
            <w:tcW w:w="2280" w:type="dxa"/>
            <w:vAlign w:val="bottom"/>
            <w:gridSpan w:val="2"/>
            <w:shd w:val="clear" w:color="auto" w:fill="CCEEFF"/>
          </w:tcPr>
          <w:p>
            <w:pPr>
              <w:jc w:val="right"/>
              <w:ind w:right="497"/>
              <w:spacing w:after="0" w:line="117" w:lineRule="exact"/>
              <w:rPr>
                <w:sz w:val="20"/>
                <w:szCs w:val="20"/>
                <w:color w:val="auto"/>
              </w:rPr>
            </w:pPr>
            <w:r>
              <w:rPr>
                <w:rFonts w:ascii="Arial" w:cs="Arial" w:eastAsia="Arial" w:hAnsi="Arial"/>
                <w:sz w:val="13"/>
                <w:szCs w:val="13"/>
                <w:color w:val="auto"/>
                <w:w w:val="96"/>
              </w:rPr>
              <w:t>shares authorized; 60,335,701</w:t>
            </w:r>
          </w:p>
        </w:tc>
        <w:tc>
          <w:tcPr>
            <w:tcW w:w="1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and 58,473,660 shares issued and outstanding at December 31, 2023 and</w:t>
            </w: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2022, respectively</w:t>
            </w:r>
          </w:p>
        </w:tc>
        <w:tc>
          <w:tcPr>
            <w:tcW w:w="2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840,407</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824,292</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deficit</w:t>
            </w: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(655,771)</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(519,098)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w w:val="96"/>
              </w:rPr>
              <w:t>Accumulated other comprehensive income (loss)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108</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(2,462)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184,750</w:t>
            </w: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302,738</w:t>
            </w:r>
          </w:p>
        </w:tc>
        <w:tc>
          <w:tcPr>
            <w:tcW w:w="2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12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360,691</w:t>
            </w: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0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 Year Ended</w:t>
            </w:r>
          </w:p>
        </w:tc>
        <w:tc>
          <w:tcPr>
            <w:tcW w:w="3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Year Ended</w:t>
            </w:r>
          </w:p>
        </w:tc>
        <w:tc>
          <w:tcPr>
            <w:tcW w:w="160" w:type="dxa"/>
            <w:vAlign w:val="bottom"/>
            <w:tcBorders>
              <w:right w:val="single" w:sz="8" w:color="auto"/>
            </w:tcBorders>
            <w:gridSpan w:val="2"/>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4"/>
                <w:szCs w:val="14"/>
                <w:color w:val="auto"/>
              </w:rPr>
              <w:t>December 31, 2023</w:t>
            </w:r>
          </w:p>
        </w:tc>
        <w:tc>
          <w:tcPr>
            <w:tcW w:w="380" w:type="dxa"/>
            <w:vAlign w:val="bottom"/>
          </w:tcPr>
          <w:p>
            <w:pPr>
              <w:spacing w:after="0"/>
              <w:rPr>
                <w:sz w:val="14"/>
                <w:szCs w:val="14"/>
                <w:color w:val="auto"/>
              </w:rPr>
            </w:pPr>
          </w:p>
        </w:tc>
        <w:tc>
          <w:tcPr>
            <w:tcW w:w="17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December 31, 2022</w:t>
            </w:r>
          </w:p>
        </w:tc>
      </w:tr>
      <w:tr>
        <w:trPr>
          <w:trHeight w:val="383"/>
        </w:trPr>
        <w:tc>
          <w:tcPr>
            <w:tcW w:w="4000" w:type="dxa"/>
            <w:vAlign w:val="bottom"/>
          </w:tcPr>
          <w:p>
            <w:pPr>
              <w:spacing w:after="0"/>
              <w:rPr>
                <w:sz w:val="20"/>
                <w:szCs w:val="20"/>
                <w:color w:val="auto"/>
              </w:rPr>
            </w:pPr>
            <w:r>
              <w:rPr>
                <w:rFonts w:ascii="Arial" w:cs="Arial" w:eastAsia="Arial" w:hAnsi="Arial"/>
                <w:sz w:val="18"/>
                <w:szCs w:val="18"/>
                <w:b w:val="1"/>
                <w:bCs w:val="1"/>
                <w:color w:val="auto"/>
              </w:rPr>
              <w:t>Collaboration revenue</w:t>
            </w:r>
          </w:p>
        </w:tc>
        <w:tc>
          <w:tcPr>
            <w:tcW w:w="6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220" w:type="dxa"/>
            <w:vAlign w:val="bottom"/>
          </w:tcPr>
          <w:p>
            <w:pPr>
              <w:spacing w:after="0"/>
              <w:rPr>
                <w:sz w:val="24"/>
                <w:szCs w:val="24"/>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177"/>
        </w:trPr>
        <w:tc>
          <w:tcPr>
            <w:tcW w:w="4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92,710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97,173</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34,706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31,857</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long-lived assets</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400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68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148,781</w:t>
            </w:r>
          </w:p>
        </w:tc>
        <w:tc>
          <w:tcPr>
            <w:tcW w:w="2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139,030</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r>
      <w:tr>
        <w:trPr>
          <w:trHeight w:val="196"/>
        </w:trPr>
        <w:tc>
          <w:tcPr>
            <w:tcW w:w="4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680" w:type="dxa"/>
            <w:vAlign w:val="bottom"/>
          </w:tcPr>
          <w:p>
            <w:pPr>
              <w:spacing w:after="0"/>
              <w:rPr>
                <w:sz w:val="17"/>
                <w:szCs w:val="17"/>
                <w:color w:val="auto"/>
              </w:rPr>
            </w:pP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(146,546)</w:t>
            </w:r>
          </w:p>
        </w:tc>
        <w:tc>
          <w:tcPr>
            <w:tcW w:w="38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(133,831)</w:t>
            </w: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7"/>
                <w:szCs w:val="17"/>
                <w:color w:val="auto"/>
              </w:rPr>
            </w:pP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(540)</w:t>
            </w:r>
          </w:p>
        </w:tc>
        <w:tc>
          <w:tcPr>
            <w:tcW w:w="38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(1,430)</w:t>
            </w: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12,677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4,420</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680" w:type="dxa"/>
            <w:vAlign w:val="bottom"/>
          </w:tcPr>
          <w:p>
            <w:pPr>
              <w:spacing w:after="0"/>
              <w:rPr>
                <w:sz w:val="17"/>
                <w:szCs w:val="17"/>
                <w:color w:val="auto"/>
              </w:rPr>
            </w:pP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(383)</w:t>
            </w:r>
          </w:p>
        </w:tc>
        <w:tc>
          <w:tcPr>
            <w:tcW w:w="380" w:type="dxa"/>
            <w:vAlign w:val="bottom"/>
          </w:tcPr>
          <w:p>
            <w:pPr>
              <w:spacing w:after="0"/>
              <w:rPr>
                <w:sz w:val="17"/>
                <w:szCs w:val="17"/>
                <w:color w:val="auto"/>
              </w:rPr>
            </w:pPr>
          </w:p>
        </w:tc>
        <w:tc>
          <w:tcPr>
            <w:tcW w:w="1760" w:type="dxa"/>
            <w:vAlign w:val="bottom"/>
            <w:tcBorders>
              <w:right w:val="single" w:sz="8" w:color="auto"/>
            </w:tcBorders>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40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6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11,754</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680" w:type="dxa"/>
            <w:vAlign w:val="bottom"/>
          </w:tcPr>
          <w:p>
            <w:pPr>
              <w:spacing w:after="0"/>
              <w:rPr>
                <w:sz w:val="17"/>
                <w:szCs w:val="17"/>
                <w:color w:val="auto"/>
              </w:rPr>
            </w:pPr>
          </w:p>
        </w:tc>
        <w:tc>
          <w:tcPr>
            <w:tcW w:w="2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(134,792)</w:t>
            </w:r>
          </w:p>
        </w:tc>
        <w:tc>
          <w:tcPr>
            <w:tcW w:w="38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(130,841)</w:t>
            </w: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(1,881)</w:t>
            </w: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(91)</w:t>
            </w:r>
          </w:p>
        </w:tc>
      </w:tr>
      <w:tr>
        <w:trPr>
          <w:trHeight w:val="236"/>
        </w:trPr>
        <w:tc>
          <w:tcPr>
            <w:tcW w:w="40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6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w w:val="79"/>
              </w:rPr>
              <w:t>$</w:t>
            </w: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(136,673)</w:t>
            </w:r>
          </w:p>
        </w:tc>
        <w:tc>
          <w:tcPr>
            <w:tcW w:w="2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(130,932)</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right w:val="single" w:sz="8" w:color="auto"/>
            </w:tcBorders>
          </w:tcPr>
          <w:p>
            <w:pPr>
              <w:spacing w:after="0"/>
              <w:rPr>
                <w:sz w:val="20"/>
                <w:szCs w:val="20"/>
                <w:color w:val="auto"/>
              </w:rPr>
            </w:pPr>
          </w:p>
        </w:tc>
      </w:tr>
      <w:tr>
        <w:trPr>
          <w:trHeight w:val="183"/>
        </w:trPr>
        <w:tc>
          <w:tcPr>
            <w:tcW w:w="40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r>
      <w:tr>
        <w:trPr>
          <w:trHeight w:val="184"/>
        </w:trPr>
        <w:tc>
          <w:tcPr>
            <w:tcW w:w="4000" w:type="dxa"/>
            <w:vAlign w:val="bottom"/>
          </w:tcPr>
          <w:p>
            <w:pPr>
              <w:spacing w:after="0" w:line="183" w:lineRule="exact"/>
              <w:rPr>
                <w:sz w:val="20"/>
                <w:szCs w:val="20"/>
                <w:color w:val="auto"/>
              </w:rPr>
            </w:pPr>
            <w:r>
              <w:rPr>
                <w:rFonts w:ascii="Arial" w:cs="Arial" w:eastAsia="Arial" w:hAnsi="Arial"/>
                <w:sz w:val="18"/>
                <w:szCs w:val="18"/>
                <w:color w:val="auto"/>
              </w:rPr>
              <w:t>Net loss per common share</w:t>
            </w: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Basic and Diluted</w:t>
            </w:r>
          </w:p>
        </w:tc>
        <w:tc>
          <w:tcPr>
            <w:tcW w:w="680" w:type="dxa"/>
            <w:vAlign w:val="bottom"/>
          </w:tcPr>
          <w:p>
            <w:pPr>
              <w:spacing w:after="0"/>
              <w:rPr>
                <w:sz w:val="19"/>
                <w:szCs w:val="19"/>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140" w:type="dxa"/>
            <w:vAlign w:val="bottom"/>
            <w:tcBorders>
              <w:right w:val="single" w:sz="8" w:color="auto"/>
            </w:tcBorders>
          </w:tcPr>
          <w:p>
            <w:pPr>
              <w:spacing w:after="0"/>
              <w:rPr>
                <w:sz w:val="19"/>
                <w:szCs w:val="19"/>
                <w:color w:val="auto"/>
              </w:rPr>
            </w:pPr>
          </w:p>
        </w:tc>
      </w:tr>
      <w:tr>
        <w:trPr>
          <w:trHeight w:val="184"/>
        </w:trPr>
        <w:tc>
          <w:tcPr>
            <w:tcW w:w="40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6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w:t>
            </w:r>
          </w:p>
        </w:tc>
        <w:tc>
          <w:tcPr>
            <w:tcW w:w="6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r>
      <w:tr>
        <w:trPr>
          <w:trHeight w:val="22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6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59,314,389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57,755,842</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(136,673)</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(130,932)</w:t>
            </w:r>
          </w:p>
        </w:tc>
        <w:tc>
          <w:tcPr>
            <w:tcW w:w="140" w:type="dxa"/>
            <w:vAlign w:val="bottom"/>
            <w:tcBorders>
              <w:right w:val="single" w:sz="8" w:color="auto"/>
            </w:tcBorders>
            <w:shd w:val="clear" w:color="auto" w:fill="CCEEFF"/>
          </w:tcPr>
          <w:p>
            <w:pPr>
              <w:spacing w:after="0"/>
              <w:rPr>
                <w:sz w:val="17"/>
                <w:szCs w:val="17"/>
                <w:color w:val="auto"/>
              </w:rPr>
            </w:pPr>
          </w:p>
        </w:tc>
      </w:tr>
      <w:tr>
        <w:trPr>
          <w:trHeight w:val="202"/>
        </w:trPr>
        <w:tc>
          <w:tcPr>
            <w:tcW w:w="4000" w:type="dxa"/>
            <w:vAlign w:val="bottom"/>
          </w:tcPr>
          <w:p>
            <w:pPr>
              <w:ind w:left="100"/>
              <w:spacing w:after="0" w:line="202" w:lineRule="exact"/>
              <w:rPr>
                <w:sz w:val="20"/>
                <w:szCs w:val="20"/>
                <w:color w:val="auto"/>
              </w:rPr>
            </w:pPr>
            <w:r>
              <w:rPr>
                <w:rFonts w:ascii="Arial" w:cs="Arial" w:eastAsia="Arial" w:hAnsi="Arial"/>
                <w:sz w:val="18"/>
                <w:szCs w:val="18"/>
                <w:color w:val="auto"/>
              </w:rPr>
              <w:t>Unrealized gain (loss) on investments</w:t>
            </w:r>
          </w:p>
        </w:tc>
        <w:tc>
          <w:tcPr>
            <w:tcW w:w="6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2,602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(1,786)</w:t>
            </w:r>
          </w:p>
        </w:tc>
        <w:tc>
          <w:tcPr>
            <w:tcW w:w="140" w:type="dxa"/>
            <w:vAlign w:val="bottom"/>
            <w:tcBorders>
              <w:right w:val="single" w:sz="8" w:color="auto"/>
            </w:tcBorders>
          </w:tcPr>
          <w:p>
            <w:pPr>
              <w:spacing w:after="0"/>
              <w:rPr>
                <w:sz w:val="17"/>
                <w:szCs w:val="17"/>
                <w:color w:val="auto"/>
              </w:rPr>
            </w:pPr>
          </w:p>
        </w:tc>
      </w:tr>
      <w:tr>
        <w:trPr>
          <w:trHeight w:val="203"/>
        </w:trPr>
        <w:tc>
          <w:tcPr>
            <w:tcW w:w="4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currency translation (loss)</w:t>
            </w:r>
          </w:p>
        </w:tc>
        <w:tc>
          <w:tcPr>
            <w:tcW w:w="6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7"/>
                <w:szCs w:val="17"/>
                <w:color w:val="auto"/>
              </w:rPr>
            </w:pPr>
          </w:p>
        </w:tc>
        <w:tc>
          <w:tcPr>
            <w:tcW w:w="1760" w:type="dxa"/>
            <w:vAlign w:val="bottom"/>
            <w:tcBorders>
              <w:right w:val="single" w:sz="8" w:color="auto"/>
            </w:tcBorders>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w:t>
            </w:r>
          </w:p>
        </w:tc>
      </w:tr>
      <w:tr>
        <w:trPr>
          <w:trHeight w:val="196"/>
        </w:trPr>
        <w:tc>
          <w:tcPr>
            <w:tcW w:w="400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6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(134,103)</w:t>
            </w: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(132,744)</w:t>
            </w:r>
          </w:p>
        </w:tc>
        <w:tc>
          <w:tcPr>
            <w:tcW w:w="2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59836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3"/>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24"/>
              <w:spacing w:after="0"/>
              <w:rPr>
                <w:sz w:val="20"/>
                <w:szCs w:val="20"/>
                <w:color w:val="auto"/>
              </w:rPr>
            </w:pPr>
            <w:r>
              <w:rPr>
                <w:rFonts w:ascii="Arial" w:cs="Arial" w:eastAsia="Arial" w:hAnsi="Arial"/>
                <w:sz w:val="14"/>
                <w:szCs w:val="14"/>
                <w:color w:val="auto"/>
              </w:rPr>
              <w:t>Total</w:t>
            </w: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123"/>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Accumulated</w:t>
            </w:r>
          </w:p>
        </w:tc>
        <w:tc>
          <w:tcPr>
            <w:tcW w:w="1180" w:type="dxa"/>
            <w:vAlign w:val="bottom"/>
            <w:gridSpan w:val="5"/>
          </w:tcPr>
          <w:p>
            <w:pPr>
              <w:ind w:left="120"/>
              <w:spacing w:after="0"/>
              <w:rPr>
                <w:sz w:val="20"/>
                <w:szCs w:val="20"/>
                <w:color w:val="auto"/>
              </w:rPr>
            </w:pPr>
            <w:r>
              <w:rPr>
                <w:rFonts w:ascii="Arial" w:cs="Arial" w:eastAsia="Arial" w:hAnsi="Arial"/>
                <w:sz w:val="14"/>
                <w:szCs w:val="14"/>
                <w:color w:val="auto"/>
              </w:rPr>
              <w:t>Comprehensive</w:t>
            </w:r>
          </w:p>
        </w:tc>
        <w:tc>
          <w:tcPr>
            <w:tcW w:w="920" w:type="dxa"/>
            <w:vAlign w:val="bottom"/>
            <w:gridSpan w:val="3"/>
          </w:tcPr>
          <w:p>
            <w:pPr>
              <w:ind w:left="60"/>
              <w:spacing w:after="0"/>
              <w:rPr>
                <w:sz w:val="20"/>
                <w:szCs w:val="20"/>
                <w:color w:val="auto"/>
              </w:rPr>
            </w:pPr>
            <w:r>
              <w:rPr>
                <w:rFonts w:ascii="Arial" w:cs="Arial" w:eastAsia="Arial" w:hAnsi="Arial"/>
                <w:sz w:val="14"/>
                <w:szCs w:val="14"/>
                <w:color w:val="auto"/>
                <w:w w:val="99"/>
              </w:rPr>
              <w:t>Stockholders’</w:t>
            </w:r>
          </w:p>
        </w:tc>
      </w:tr>
      <w:tr>
        <w:trPr>
          <w:trHeight w:val="155"/>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40" w:type="dxa"/>
            <w:vAlign w:val="bottom"/>
          </w:tcPr>
          <w:p>
            <w:pPr>
              <w:jc w:val="right"/>
              <w:ind w:right="4"/>
              <w:spacing w:after="0" w:line="155"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23"/>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05"/>
              <w:spacing w:after="0" w:line="155" w:lineRule="exact"/>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rPr>
              <w:t>Loss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84"/>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20" w:type="dxa"/>
            <w:vAlign w:val="bottom"/>
          </w:tcPr>
          <w:p>
            <w:pPr>
              <w:spacing w:after="0"/>
              <w:rPr>
                <w:sz w:val="10"/>
                <w:szCs w:val="10"/>
                <w:color w:val="auto"/>
              </w:rPr>
            </w:pPr>
          </w:p>
        </w:tc>
        <w:tc>
          <w:tcPr>
            <w:tcW w:w="37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55,005,523</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785,049</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(388,166)</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ind w:right="4"/>
              <w:spacing w:after="0" w:line="115" w:lineRule="exact"/>
              <w:rPr>
                <w:sz w:val="20"/>
                <w:szCs w:val="20"/>
                <w:color w:val="auto"/>
              </w:rPr>
            </w:pPr>
            <w:r>
              <w:rPr>
                <w:rFonts w:ascii="Arial" w:cs="Arial" w:eastAsia="Arial" w:hAnsi="Arial"/>
                <w:sz w:val="11"/>
                <w:szCs w:val="11"/>
                <w:b w:val="1"/>
                <w:bCs w:val="1"/>
                <w:color w:val="auto"/>
              </w:rPr>
              <w:t>396,238</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Issuance of stock to collaboration partner</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2,160,760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26,812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rPr>
              <w:t>26,813</w:t>
            </w: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342,833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345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b w:val="1"/>
                <w:bCs w:val="1"/>
                <w:color w:val="auto"/>
              </w:rPr>
              <w:t>345</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488,758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475,786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1,417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b w:val="1"/>
                <w:bCs w:val="1"/>
                <w:color w:val="auto"/>
              </w:rPr>
              <w:t>1,417</w:t>
            </w:r>
          </w:p>
        </w:tc>
      </w:tr>
      <w:tr>
        <w:trPr>
          <w:trHeight w:val="121"/>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10,669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rPr>
              <w:t>10,669</w:t>
            </w: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(1,786)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(1,786)</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w:t>
            </w: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(130,932)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(130,932)</w:t>
            </w:r>
          </w:p>
        </w:tc>
      </w:tr>
      <w:tr>
        <w:trPr>
          <w:trHeight w:val="115"/>
        </w:trPr>
        <w:tc>
          <w:tcPr>
            <w:tcW w:w="20" w:type="dxa"/>
            <w:vAlign w:val="bottom"/>
          </w:tcPr>
          <w:p>
            <w:pPr>
              <w:spacing w:after="0"/>
              <w:rPr>
                <w:sz w:val="10"/>
                <w:szCs w:val="10"/>
                <w:color w:val="auto"/>
              </w:rPr>
            </w:pPr>
          </w:p>
        </w:tc>
        <w:tc>
          <w:tcPr>
            <w:tcW w:w="3700" w:type="dxa"/>
            <w:vAlign w:val="bottom"/>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7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260" w:type="dxa"/>
            <w:vAlign w:val="bottom"/>
            <w:gridSpan w:val="2"/>
          </w:tcPr>
          <w:p>
            <w:pPr>
              <w:jc w:val="right"/>
              <w:ind w:right="31"/>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824,292</w:t>
            </w:r>
          </w:p>
        </w:tc>
        <w:tc>
          <w:tcPr>
            <w:tcW w:w="240" w:type="dxa"/>
            <w:vAlign w:val="bottom"/>
            <w:gridSpan w:val="2"/>
          </w:tcPr>
          <w:p>
            <w:pPr>
              <w:jc w:val="right"/>
              <w:ind w:right="4"/>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200" w:type="dxa"/>
            <w:vAlign w:val="bottom"/>
            <w:gridSpan w:val="2"/>
          </w:tcPr>
          <w:p>
            <w:pPr>
              <w:ind w:left="120"/>
              <w:spacing w:after="0" w:line="115" w:lineRule="exact"/>
              <w:rPr>
                <w:sz w:val="20"/>
                <w:szCs w:val="20"/>
                <w:color w:val="auto"/>
              </w:rPr>
            </w:pPr>
            <w:r>
              <w:rPr>
                <w:rFonts w:ascii="Arial" w:cs="Arial" w:eastAsia="Arial" w:hAnsi="Arial"/>
                <w:sz w:val="11"/>
                <w:szCs w:val="11"/>
                <w:b w:val="1"/>
                <w:bCs w:val="1"/>
                <w:color w:val="auto"/>
                <w:w w:val="97"/>
              </w:rPr>
              <w:t>$</w:t>
            </w:r>
          </w:p>
        </w:tc>
        <w:tc>
          <w:tcPr>
            <w:tcW w:w="60" w:type="dxa"/>
            <w:vAlign w:val="bottom"/>
          </w:tcPr>
          <w:p>
            <w:pPr>
              <w:spacing w:after="0"/>
              <w:rPr>
                <w:sz w:val="10"/>
                <w:szCs w:val="10"/>
                <w:color w:val="auto"/>
              </w:rPr>
            </w:pPr>
          </w:p>
        </w:tc>
        <w:tc>
          <w:tcPr>
            <w:tcW w:w="8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60" w:type="dxa"/>
            <w:vAlign w:val="bottom"/>
          </w:tcPr>
          <w:p>
            <w:pPr>
              <w:spacing w:after="0"/>
              <w:rPr>
                <w:sz w:val="10"/>
                <w:szCs w:val="10"/>
                <w:color w:val="auto"/>
              </w:rPr>
            </w:pPr>
          </w:p>
        </w:tc>
        <w:tc>
          <w:tcPr>
            <w:tcW w:w="2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ind w:right="4"/>
              <w:spacing w:after="0" w:line="115" w:lineRule="exact"/>
              <w:rPr>
                <w:sz w:val="20"/>
                <w:szCs w:val="20"/>
                <w:color w:val="auto"/>
              </w:rPr>
            </w:pPr>
            <w:r>
              <w:rPr>
                <w:rFonts w:ascii="Arial" w:cs="Arial" w:eastAsia="Arial" w:hAnsi="Arial"/>
                <w:sz w:val="11"/>
                <w:szCs w:val="11"/>
                <w:b w:val="1"/>
                <w:bCs w:val="1"/>
                <w:color w:val="auto"/>
              </w:rPr>
              <w:t>302,738</w:t>
            </w:r>
          </w:p>
        </w:tc>
      </w:tr>
      <w:tr>
        <w:trPr>
          <w:trHeight w:val="108"/>
        </w:trPr>
        <w:tc>
          <w:tcPr>
            <w:tcW w:w="20" w:type="dxa"/>
            <w:vAlign w:val="bottom"/>
          </w:tcPr>
          <w:p>
            <w:pPr>
              <w:spacing w:after="0"/>
              <w:rPr>
                <w:sz w:val="9"/>
                <w:szCs w:val="9"/>
                <w:color w:val="auto"/>
              </w:rPr>
            </w:pPr>
          </w:p>
        </w:tc>
        <w:tc>
          <w:tcPr>
            <w:tcW w:w="37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 exercise of stock options and 2021</w:t>
            </w: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1"/>
                <w:szCs w:val="11"/>
                <w:color w:val="auto"/>
              </w:rPr>
              <w:t>ESPP</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761,381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943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943</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95,877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351,521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943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b w:val="1"/>
                <w:bCs w:val="1"/>
                <w:color w:val="auto"/>
              </w:rPr>
              <w:t>943</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653,262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(393)</w:t>
            </w:r>
          </w:p>
        </w:tc>
      </w:tr>
      <w:tr>
        <w:trPr>
          <w:trHeight w:val="121"/>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2,602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b w:val="1"/>
                <w:bCs w:val="1"/>
                <w:color w:val="auto"/>
              </w:rPr>
              <w:t>2,602</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(32)</w:t>
            </w: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14,622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b w:val="1"/>
                <w:bCs w:val="1"/>
                <w:color w:val="auto"/>
              </w:rPr>
              <w:t>14,622</w:t>
            </w:r>
          </w:p>
        </w:tc>
      </w:tr>
      <w:tr>
        <w:trPr>
          <w:trHeight w:val="122"/>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(136,673)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(136,673)</w:t>
            </w:r>
          </w:p>
        </w:tc>
      </w:tr>
      <w:tr>
        <w:trPr>
          <w:trHeight w:val="115"/>
        </w:trPr>
        <w:tc>
          <w:tcPr>
            <w:tcW w:w="20" w:type="dxa"/>
            <w:vAlign w:val="bottom"/>
          </w:tcPr>
          <w:p>
            <w:pPr>
              <w:spacing w:after="0"/>
              <w:rPr>
                <w:sz w:val="10"/>
                <w:szCs w:val="10"/>
                <w:color w:val="auto"/>
              </w:rPr>
            </w:pPr>
          </w:p>
        </w:tc>
        <w:tc>
          <w:tcPr>
            <w:tcW w:w="37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840,407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ind w:right="4"/>
              <w:spacing w:after="0" w:line="115" w:lineRule="exact"/>
              <w:rPr>
                <w:sz w:val="20"/>
                <w:szCs w:val="20"/>
                <w:color w:val="auto"/>
              </w:rPr>
            </w:pPr>
            <w:r>
              <w:rPr>
                <w:rFonts w:ascii="Arial" w:cs="Arial" w:eastAsia="Arial" w:hAnsi="Arial"/>
                <w:sz w:val="11"/>
                <w:szCs w:val="11"/>
                <w:b w:val="1"/>
                <w:bCs w:val="1"/>
                <w:color w:val="auto"/>
              </w:rPr>
              <w:t>184,750</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598360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5"/>
          <w:szCs w:val="25"/>
          <w:b w:val="1"/>
          <w:bCs w:val="1"/>
          <w:color w:val="auto"/>
        </w:rPr>
        <w:t>(In thousands)</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Year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December 31, 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143"/>
        </w:trPr>
        <w:tc>
          <w:tcPr>
            <w:tcW w:w="48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(136,673)</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(130,932)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13,044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8,440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deferred financing cost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Non-cash operating lease expense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(1,196)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1,631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based compensation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10,669</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Impairment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16,365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Amortization/accretion of investments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b w:val="1"/>
                <w:bCs w:val="1"/>
                <w:color w:val="auto"/>
              </w:rPr>
              <w:t>Change in operating assets and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Escrow deposit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667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1,028</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liability</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13,819</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(2,235)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117,988</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3,957</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(88,348)</w:t>
            </w: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14,052</w:t>
            </w: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Acquisition of property and equipment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(13,736)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(30,604)</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Acquisition of fixed maturity securities, available for sale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(209,034)</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(254,000)</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Sale of fixed maturity securities, available for sale</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283,902</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271,476</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61,132</w:t>
            </w: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(13,128)</w:t>
            </w: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issuance of common stock and ESPP</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4"/>
                <w:szCs w:val="14"/>
                <w:color w:val="auto"/>
              </w:rPr>
              <w:t>Payments on long term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(10,241)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issuance of shares to collaboration partner</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26,813</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(9,725)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27,158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8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Net (decrease) increase in cash, cash equivalents, and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ind w:left="300"/>
              <w:spacing w:after="0"/>
              <w:rPr>
                <w:sz w:val="20"/>
                <w:szCs w:val="20"/>
                <w:color w:val="auto"/>
              </w:rPr>
            </w:pPr>
            <w:r>
              <w:rPr>
                <w:rFonts w:ascii="Arial" w:cs="Arial" w:eastAsia="Arial" w:hAnsi="Arial"/>
                <w:sz w:val="14"/>
                <w:szCs w:val="14"/>
                <w:b w:val="1"/>
                <w:bCs w:val="1"/>
                <w:color w:val="auto"/>
              </w:rPr>
              <w:t>restricted cash</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(36,941)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28,082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86,244</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58,162</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49,303</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86,244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paid for interest</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1,097</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4"/>
                <w:szCs w:val="14"/>
                <w:color w:val="auto"/>
              </w:rPr>
              <w:t>Cash paid for income tax</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2,521</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80" w:type="dxa"/>
            <w:vAlign w:val="bottom"/>
          </w:tcPr>
          <w:p>
            <w:pPr>
              <w:spacing w:after="0" w:line="153"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activities: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Purchase of property and equipment, accrued and unpaid</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2,654</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-128905</wp:posOffset>
            </wp:positionV>
            <wp:extent cx="22459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1—Organization and description of the business</w:t>
      </w:r>
    </w:p>
    <w:p>
      <w:pPr>
        <w:spacing w:after="0" w:line="212"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and inflammatory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1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Therapeutics Canada ULC. All intercompany balances and transactions have been eliminated in consolidation.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year ended December 31, 2023, the Company incurred a net loss of $136,673 and used $88,348 of cash from operations. Cash and cash equivalents and short and long-term investments were $261,834 at December 31, 2023.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Reduction in Force</w:t>
      </w:r>
    </w:p>
    <w:p>
      <w:pPr>
        <w:spacing w:after="0" w:line="21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included pausing investments in CNTY-103 for glioblastoma as well as a discovery program in hematologic malignancies. The Company has shifted focus to CNTY-101 and will accelerate key programs, including one follow-on candidate for lymphoma, CNTY-102, CNTY-107 for Nectin-4+ solid tumors, and CNTY-101 in moderate to sever Systemic Lupus Eythematosus (“SLE”). In addition, the Company continues its partnered programs with Bristol-Myers Squibb. The restructuring plan resulted in a reduction in the Company’s workforce of approximately 25%. In connection with the restricting plan, lab operations in Seattle and Hamilton, Ontario were closed and research activities were consolidated in Philadelphia.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2—Summary of significant accounting policies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prior year information has been reclassified to conform to the fiscal year 2023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2023 and 2022, the Company has not experienced any losses on its deposits of cash and cash equivalents.</w:t>
      </w:r>
    </w:p>
    <w:p>
      <w:pPr>
        <w:spacing w:after="0" w:line="179"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7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54"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5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10" w:lineRule="exact"/>
        <w:rPr>
          <w:sz w:val="20"/>
          <w:szCs w:val="20"/>
          <w:color w:val="auto"/>
        </w:rPr>
      </w:pPr>
    </w:p>
    <w:p>
      <w:pPr>
        <w:ind w:left="60" w:right="639"/>
        <w:spacing w:after="0" w:line="301" w:lineRule="auto"/>
        <w:rPr>
          <w:sz w:val="20"/>
          <w:szCs w:val="20"/>
          <w:color w:val="auto"/>
        </w:rPr>
      </w:pPr>
      <w:r>
        <w:rPr>
          <w:rFonts w:ascii="Arial" w:cs="Arial" w:eastAsia="Arial" w:hAnsi="Arial"/>
          <w:sz w:val="17"/>
          <w:szCs w:val="17"/>
          <w:color w:val="auto"/>
        </w:rPr>
        <w:t>As of December 31, 2023 and 2022, the Company had $1,979 in cash on deposit to secure certain lease commitments. Restricted cash is recorded separately in the Company’s consolidated balance sheets.</w:t>
      </w:r>
    </w:p>
    <w:p>
      <w:pPr>
        <w:spacing w:after="0" w:line="131"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18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December 31, 2023</w:t>
            </w:r>
          </w:p>
        </w:tc>
        <w:tc>
          <w:tcPr>
            <w:tcW w:w="16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December 31, 2022</w:t>
            </w: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47,324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84,265</w:t>
            </w:r>
          </w:p>
        </w:tc>
      </w:tr>
      <w:tr>
        <w:trPr>
          <w:trHeight w:val="203"/>
        </w:trPr>
        <w:tc>
          <w:tcPr>
            <w:tcW w:w="6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196"/>
        </w:trPr>
        <w:tc>
          <w:tcPr>
            <w:tcW w:w="6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49,303</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86,244</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1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that mature within one year of the balance sheet date are classified as short-term, while investments with a maturity date greater than one year are classified as long-term.</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Black-Scholes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210"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80"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income (loss) within the Company’s consolidated balance sheets.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years ended December 31, 2023 and 2022.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15)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until the awards vest. The deposits received are initially recorded in deposit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liability. The liabilities are reclassified to common stock and additional paid-in-capital as the repurchase right lapses. At December 31, 2023 and 2022, there was $640 and $1,584, respectively, recorded in deposit liability related to shares held by employees and nonemployees that were subject to repurchase.</w:t>
      </w:r>
    </w:p>
    <w:p>
      <w:pPr>
        <w:spacing w:after="0" w:line="169"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0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231F20"/>
              </w:rPr>
              <w:t>December 31, 2023</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2022</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shares legally outstanding</w:t>
            </w:r>
          </w:p>
        </w:tc>
        <w:tc>
          <w:tcPr>
            <w:tcW w:w="12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60,504,397</w:t>
            </w:r>
          </w:p>
        </w:tc>
        <w:tc>
          <w:tcPr>
            <w:tcW w:w="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59,137,491</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Less: unvested early exercised shares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231F20"/>
              </w:rPr>
              <w:t>(119,280)</w:t>
            </w:r>
          </w:p>
        </w:tc>
        <w:tc>
          <w:tcPr>
            <w:tcW w:w="1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231F20"/>
              </w:rPr>
              <w:t>(470,800)</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unvested restricted stock awards (Note 15)</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(49,416)</w:t>
            </w:r>
          </w:p>
        </w:tc>
        <w:tc>
          <w:tcPr>
            <w:tcW w:w="16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(193,031)</w:t>
            </w:r>
          </w:p>
        </w:tc>
      </w:tr>
      <w:tr>
        <w:trPr>
          <w:trHeight w:val="196"/>
        </w:trPr>
        <w:tc>
          <w:tcPr>
            <w:tcW w:w="6060" w:type="dxa"/>
            <w:vAlign w:val="bottom"/>
          </w:tcPr>
          <w:p>
            <w:pPr>
              <w:spacing w:after="0" w:line="196" w:lineRule="exact"/>
              <w:rPr>
                <w:sz w:val="20"/>
                <w:szCs w:val="20"/>
                <w:color w:val="auto"/>
              </w:rPr>
            </w:pPr>
            <w:r>
              <w:rPr>
                <w:rFonts w:ascii="Arial" w:cs="Arial" w:eastAsia="Arial" w:hAnsi="Arial"/>
                <w:sz w:val="18"/>
                <w:szCs w:val="18"/>
                <w:color w:val="auto"/>
              </w:rPr>
              <w:t>Total shares issued and outstanding</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60,335,701</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58,473,660</w:t>
            </w:r>
          </w:p>
        </w:tc>
      </w:tr>
      <w:tr>
        <w:trPr>
          <w:trHeight w:val="20"/>
        </w:trPr>
        <w:tc>
          <w:tcPr>
            <w:tcW w:w="6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the Company would be able to realize our deferred tax assets in the future in excess of their net recorded amount, the Company would make an adjustment to the deferred tax asset valuation allowance, which would reduce the provision for income taxes.</w:t>
      </w:r>
    </w:p>
    <w:p>
      <w:pPr>
        <w:spacing w:after="0" w:line="18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7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As of December 31, 2023, no accrued interest or penalties are included on the related tax liability line in the consolidated balance sheet.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7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339"/>
        <w:spacing w:after="0" w:line="301" w:lineRule="auto"/>
        <w:rPr>
          <w:sz w:val="20"/>
          <w:szCs w:val="20"/>
          <w:color w:val="auto"/>
        </w:rPr>
      </w:pPr>
      <w:r>
        <w:rPr>
          <w:rFonts w:ascii="Arial" w:cs="Arial" w:eastAsia="Arial" w:hAnsi="Arial"/>
          <w:sz w:val="17"/>
          <w:szCs w:val="17"/>
          <w:color w:val="auto"/>
        </w:rPr>
        <w:t>performance obligations in the agreements if those performance obligations are with a customer. Revenue recognized by analogizing to ASC 606 is recorded as collaboration revenue on the statements of operations.</w:t>
      </w:r>
    </w:p>
    <w:p>
      <w:pPr>
        <w:spacing w:after="0" w:line="13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83"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7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8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6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adjustments are recorded on a cumulative catch-up basis in the statements of operations in the period of adjustment.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1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reviews its long-lived assets for impairment annually, or whenever events or circumstances indicate that the carrying amount of an asset may not be fully recoverable. The Company assesses the recoverability of these assets by comparing the carrying amount of such assets or asset group to the future undiscounted cash flows it expects the assets or asset group to generate. The Company recognizes an impairment loss if the sum of the expected long-term discounted cash flows that the long-lived asset is expected to generate is less than the carrying amount of the long-lived asset being evaluated. The Company analyzed its long-lived assets for impairment and recorded a $16,365 impairment charge related to property and equipment and its right-of-use assets in its consolidated statements of operations and comprehensive loss for the year ended December 31, 2023.</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w:t>
      </w:r>
    </w:p>
    <w:p>
      <w:pPr>
        <w:spacing w:after="0" w:line="163"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currently evaluating the impact of adopting this new accounting guidance.</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 – Reduction in force</w:t>
      </w:r>
    </w:p>
    <w:p>
      <w:pPr>
        <w:spacing w:after="0" w:line="241"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During the year ended December 31, 2023, the Company incurred $2,032 of cash-based expenses related to employee severances, benefits and related costs. Of these amounts, $292 related to G&amp;A expense, while $1,740 related to R&amp;D expense. In addition, the Company recorded non-cash stock-based compensation charge of $581 related to modification of equity awards for employees impacted by the restructuring during the year ended December 31, 2023. Of these amounts, $171 related to G&amp;A expense, while $410 related to R&amp;D expense. There were no remaining outstanding liabilities related to the reduction in force at December 31, 2023.</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21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2023, by level within the fair value hierarchy:</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2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42,263</w:t>
            </w:r>
          </w:p>
        </w:tc>
      </w:tr>
      <w:tr>
        <w:trPr>
          <w:trHeight w:val="202"/>
        </w:trPr>
        <w:tc>
          <w:tcPr>
            <w:tcW w:w="2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26,114</w:t>
            </w: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3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42,263</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214,510</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68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256,773</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2022,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6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color w:val="auto"/>
              </w:rPr>
              <w:t>Total</w:t>
            </w: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7"/>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196"/>
        </w:trPr>
        <w:tc>
          <w:tcPr>
            <w:tcW w:w="3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77,736</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283,078</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360,814</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There were no transfers between levels during the years ended December 31, 2023 and 2022. The Company uses the services of its investment manager, which uses widely accepted models for assumptions in valuing securities with inputs from major third-party data providers.</w:t>
      </w:r>
    </w:p>
    <w:p>
      <w:pPr>
        <w:spacing w:after="0" w:line="155"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4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2023:</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26,070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26,114</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188,219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188,396</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214,289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2022:</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2860" w:type="dxa"/>
            <w:vAlign w:val="bottom"/>
            <w:gridSpan w:val="3"/>
          </w:tcPr>
          <w:p>
            <w:pPr>
              <w:ind w:left="182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87,798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(1,323)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86,475</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197,668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196"/>
        </w:trPr>
        <w:tc>
          <w:tcPr>
            <w:tcW w:w="3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285,466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(2,390)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20"/>
        </w:trPr>
        <w:tc>
          <w:tcPr>
            <w:tcW w:w="3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the Company’s fixed maturity available-for-sale securities: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84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gridSpan w:val="3"/>
          </w:tcPr>
          <w:p>
            <w:pPr>
              <w:ind w:left="2300"/>
              <w:spacing w:after="0"/>
              <w:rPr>
                <w:sz w:val="20"/>
                <w:szCs w:val="20"/>
                <w:color w:val="auto"/>
              </w:rPr>
            </w:pPr>
            <w:r>
              <w:rPr>
                <w:rFonts w:ascii="Arial" w:cs="Arial" w:eastAsia="Arial" w:hAnsi="Arial"/>
                <w:sz w:val="14"/>
                <w:szCs w:val="14"/>
                <w:color w:val="auto"/>
              </w:rPr>
              <w:t>December 31, 2023</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 2022</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125,414</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231,224</w:t>
            </w:r>
          </w:p>
        </w:tc>
      </w:tr>
      <w:tr>
        <w:trPr>
          <w:trHeight w:val="203"/>
        </w:trPr>
        <w:tc>
          <w:tcPr>
            <w:tcW w:w="3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One to five years</w:t>
            </w:r>
          </w:p>
        </w:tc>
        <w:tc>
          <w:tcPr>
            <w:tcW w:w="2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89,096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51,854</w:t>
            </w:r>
          </w:p>
        </w:tc>
      </w:tr>
      <w:tr>
        <w:trPr>
          <w:trHeight w:val="196"/>
        </w:trPr>
        <w:tc>
          <w:tcPr>
            <w:tcW w:w="38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214,510</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As of December 31, 2023 and December 31, 2022, the Company had 25 and 43 available-for-sale investment debt securities in an unrealized loss position without an allowance for credit losses, respectively. Unrealized losses on corporate debt have not been recognized into income because the issuers’ bonds are of high credit quality (rated BBB+ or higher) and the decline is fair value is largely due to market conditions and or changes in interest rates. Management does not intend to sell and it is likely that management will not be required 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sell the securities prior to the anticipated recovery of their amortized cost basis. The issuers continue to make timely payments on the bonds. The fair value is expected to recover as the bond approaches maturity.</w:t>
      </w:r>
    </w:p>
    <w:p>
      <w:pPr>
        <w:spacing w:after="0" w:line="140"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As of December 31, 2023 and December 31, 2022, accrued interest on available-for-sale investment debt securities totaling $1,570 and $0, respectively, is excluded from the estimate of credit losses and is included in prepaid expenses and other current assets.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5—Prepaid expenses and other current assets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600" w:type="dxa"/>
            <w:vAlign w:val="bottom"/>
            <w:gridSpan w:val="4"/>
          </w:tcPr>
          <w:p>
            <w:pPr>
              <w:ind w:left="1180"/>
              <w:spacing w:after="0"/>
              <w:rPr>
                <w:sz w:val="20"/>
                <w:szCs w:val="20"/>
                <w:color w:val="auto"/>
              </w:rPr>
            </w:pPr>
            <w:r>
              <w:rPr>
                <w:rFonts w:ascii="Arial" w:cs="Arial" w:eastAsia="Arial" w:hAnsi="Arial"/>
                <w:sz w:val="14"/>
                <w:szCs w:val="14"/>
                <w:color w:val="auto"/>
              </w:rPr>
              <w:t>December 31, 2023</w:t>
            </w:r>
          </w:p>
        </w:tc>
        <w:tc>
          <w:tcPr>
            <w:tcW w:w="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December 31, 2022</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1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licenses and other</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1,417</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Income tax receivable</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Reimbursement receivable</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Warranties</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 receivable</w:t>
            </w:r>
          </w:p>
        </w:tc>
        <w:tc>
          <w:tcPr>
            <w:tcW w:w="1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1180" w:type="dxa"/>
            <w:vAlign w:val="bottom"/>
          </w:tcPr>
          <w:p>
            <w:pPr>
              <w:spacing w:after="0"/>
              <w:rPr>
                <w:sz w:val="17"/>
                <w:szCs w:val="17"/>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4,003</w:t>
            </w:r>
          </w:p>
        </w:tc>
      </w:tr>
      <w:tr>
        <w:trPr>
          <w:trHeight w:val="20"/>
        </w:trPr>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6—Property and equipment, net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property and equipment, net:</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140" w:type="dxa"/>
            <w:vAlign w:val="bottom"/>
            <w:gridSpan w:val="4"/>
          </w:tcPr>
          <w:p>
            <w:pPr>
              <w:ind w:left="1720"/>
              <w:spacing w:after="0"/>
              <w:rPr>
                <w:sz w:val="20"/>
                <w:szCs w:val="20"/>
                <w:color w:val="auto"/>
              </w:rPr>
            </w:pPr>
            <w:r>
              <w:rPr>
                <w:rFonts w:ascii="Arial" w:cs="Arial" w:eastAsia="Arial" w:hAnsi="Arial"/>
                <w:sz w:val="14"/>
                <w:szCs w:val="14"/>
                <w:color w:val="auto"/>
              </w:rPr>
              <w:t>December 31, 2023</w:t>
            </w:r>
          </w:p>
        </w:tc>
        <w:tc>
          <w:tcPr>
            <w:tcW w:w="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December 31, 2022</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17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29,597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28,811</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60,862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48,951</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13,998</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7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94,543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96,440</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7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(22,838)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(13,655)</w:t>
            </w: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Property and equipment, net</w:t>
            </w:r>
          </w:p>
        </w:tc>
        <w:tc>
          <w:tcPr>
            <w:tcW w:w="1720" w:type="dxa"/>
            <w:vAlign w:val="bottom"/>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71,705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82,785</w:t>
            </w:r>
          </w:p>
        </w:tc>
      </w:tr>
      <w:tr>
        <w:trPr>
          <w:trHeight w:val="20"/>
        </w:trPr>
        <w:tc>
          <w:tcPr>
            <w:tcW w:w="4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$13,044 and $8,440 for the years ended December 31, 2023 and 2022, respectively.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recognized $11,422 in impairment on property and equipment, net within the consolidated</w:t>
      </w:r>
    </w:p>
    <w:p>
      <w:pPr>
        <w:ind w:left="60"/>
        <w:spacing w:after="0"/>
        <w:rPr>
          <w:sz w:val="20"/>
          <w:szCs w:val="20"/>
          <w:color w:val="auto"/>
        </w:rPr>
      </w:pPr>
      <w:r>
        <w:rPr>
          <w:rFonts w:ascii="Arial" w:cs="Arial" w:eastAsia="Arial" w:hAnsi="Arial"/>
          <w:sz w:val="18"/>
          <w:szCs w:val="18"/>
          <w:color w:val="auto"/>
        </w:rPr>
        <w:t>December 31, 2023 financial statements. See footnote 17, Impairment of long-lived assets”.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7—Accrued expenses and other liabilities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560" w:type="dxa"/>
            <w:vAlign w:val="bottom"/>
            <w:gridSpan w:val="3"/>
          </w:tcPr>
          <w:p>
            <w:pPr>
              <w:ind w:left="2280"/>
              <w:spacing w:after="0"/>
              <w:rPr>
                <w:sz w:val="20"/>
                <w:szCs w:val="20"/>
                <w:color w:val="auto"/>
              </w:rPr>
            </w:pPr>
            <w:r>
              <w:rPr>
                <w:rFonts w:ascii="Arial" w:cs="Arial" w:eastAsia="Arial" w:hAnsi="Arial"/>
                <w:sz w:val="14"/>
                <w:szCs w:val="14"/>
                <w:color w:val="auto"/>
              </w:rPr>
              <w:t>December 31, 2023</w:t>
            </w:r>
          </w:p>
        </w:tc>
        <w:tc>
          <w:tcPr>
            <w:tcW w:w="2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Payroll and bonuses</w:t>
            </w:r>
          </w:p>
        </w:tc>
        <w:tc>
          <w:tcPr>
            <w:tcW w:w="2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6,496</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2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clinical trial related costs</w:t>
            </w:r>
          </w:p>
        </w:tc>
        <w:tc>
          <w:tcPr>
            <w:tcW w:w="2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Professional and legal fees</w:t>
            </w:r>
          </w:p>
        </w:tc>
        <w:tc>
          <w:tcPr>
            <w:tcW w:w="2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1,642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current</w:t>
            </w:r>
          </w:p>
        </w:tc>
        <w:tc>
          <w:tcPr>
            <w:tcW w:w="2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2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10,149</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80" w:type="dxa"/>
            <w:vAlign w:val="bottom"/>
            <w:vMerge w:val="restart"/>
          </w:tcPr>
          <w:p>
            <w:pPr>
              <w:jc w:val="right"/>
              <w:ind w:right="1459"/>
              <w:spacing w:after="0"/>
              <w:rPr>
                <w:sz w:val="20"/>
                <w:szCs w:val="20"/>
                <w:color w:val="auto"/>
              </w:rPr>
            </w:pPr>
            <w:r>
              <w:rPr>
                <w:rFonts w:ascii="Arial" w:cs="Arial" w:eastAsia="Arial" w:hAnsi="Arial"/>
                <w:sz w:val="18"/>
                <w:szCs w:val="18"/>
                <w:color w:val="auto"/>
              </w:rPr>
              <w:t>189</w:t>
            </w: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8—Long-term debt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8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color w:val="auto"/>
              </w:rPr>
              <w:t>December 31, 2023</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2022</w:t>
            </w: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184"/>
        </w:trPr>
        <w:tc>
          <w:tcPr>
            <w:tcW w:w="5840" w:type="dxa"/>
            <w:vAlign w:val="bottom"/>
          </w:tcPr>
          <w:p>
            <w:pPr>
              <w:spacing w:after="0" w:line="183" w:lineRule="exact"/>
              <w:rPr>
                <w:sz w:val="20"/>
                <w:szCs w:val="20"/>
                <w:color w:val="auto"/>
              </w:rPr>
            </w:pPr>
            <w:r>
              <w:rPr>
                <w:rFonts w:ascii="Arial" w:cs="Arial" w:eastAsia="Arial" w:hAnsi="Arial"/>
                <w:sz w:val="18"/>
                <w:szCs w:val="18"/>
                <w:color w:val="auto"/>
              </w:rPr>
              <w:t>Less: Unamortized deferred financing cost and end of term fee, net of</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196"/>
        </w:trPr>
        <w:tc>
          <w:tcPr>
            <w:tcW w:w="5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3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10,241</w:t>
            </w: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7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$ 395, which was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38576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For the Year Ended</w:t>
            </w:r>
          </w:p>
        </w:tc>
        <w:tc>
          <w:tcPr>
            <w:tcW w:w="1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color w:val="auto"/>
              </w:rPr>
              <w:t>For the Year Ended</w:t>
            </w:r>
          </w:p>
        </w:tc>
      </w:tr>
      <w:tr>
        <w:trPr>
          <w:trHeight w:val="171"/>
        </w:trPr>
        <w:tc>
          <w:tcPr>
            <w:tcW w:w="5880" w:type="dxa"/>
            <w:vAlign w:val="bottom"/>
          </w:tcPr>
          <w:p>
            <w:pPr>
              <w:spacing w:after="0"/>
              <w:rPr>
                <w:sz w:val="14"/>
                <w:szCs w:val="14"/>
                <w:color w:val="auto"/>
              </w:rPr>
            </w:pP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December 31, 2023</w:t>
            </w:r>
          </w:p>
        </w:tc>
        <w:tc>
          <w:tcPr>
            <w:tcW w:w="1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December 31, 2022</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debt issuance costs, including end of term fee accretion</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7"/>
                <w:szCs w:val="17"/>
                <w:color w:val="auto"/>
              </w:rPr>
            </w:pPr>
          </w:p>
        </w:tc>
      </w:tr>
      <w:tr>
        <w:trPr>
          <w:trHeight w:val="196"/>
        </w:trPr>
        <w:tc>
          <w:tcPr>
            <w:tcW w:w="5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Included in accrued expenses in the accompanying consolidated balance sheets as of December 31, 2023 and 2022 was $0 and $117 of accrued interest, respectively.</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 – Bristol-Myers Squibb Collaboration</w:t>
      </w:r>
    </w:p>
    <w:p>
      <w:pPr>
        <w:spacing w:after="0" w:line="21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79"/>
        <w:spacing w:after="0" w:line="253" w:lineRule="auto"/>
        <w:rPr>
          <w:sz w:val="20"/>
          <w:szCs w:val="20"/>
          <w:color w:val="auto"/>
        </w:rPr>
      </w:pPr>
      <w:r>
        <w:rPr>
          <w:rFonts w:ascii="Arial" w:cs="Arial" w:eastAsia="Arial" w:hAnsi="Arial"/>
          <w:sz w:val="18"/>
          <w:szCs w:val="18"/>
          <w:color w:val="auto"/>
        </w:rPr>
        <w:t>for the Collaboration Agreement, including for the delivery of goods and services (i.e., units of account). Revenue recognized by analogizing to ASC 606 is recorded as collaboration revenue in the statements of operations.</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1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18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8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7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5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85" w:lineRule="exact"/>
        <w:rPr>
          <w:sz w:val="20"/>
          <w:szCs w:val="20"/>
          <w:color w:val="auto"/>
        </w:rPr>
      </w:pPr>
    </w:p>
    <w:p>
      <w:pPr>
        <w:ind w:left="720" w:right="219"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83" w:lineRule="exact"/>
        <w:rPr>
          <w:rFonts w:ascii="Times New Roman" w:cs="Times New Roman" w:eastAsia="Times New Roman" w:hAnsi="Times New Roman"/>
          <w:sz w:val="18"/>
          <w:szCs w:val="18"/>
          <w:color w:val="auto"/>
        </w:rPr>
      </w:pPr>
    </w:p>
    <w:p>
      <w:pPr>
        <w:ind w:left="720" w:right="79" w:hanging="319"/>
        <w:spacing w:after="0" w:line="246" w:lineRule="auto"/>
        <w:tabs>
          <w:tab w:leader="none" w:pos="7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77"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4" w:lineRule="exact"/>
        <w:rPr>
          <w:sz w:val="20"/>
          <w:szCs w:val="20"/>
          <w:color w:val="auto"/>
        </w:rPr>
      </w:pPr>
    </w:p>
    <w:p>
      <w:pPr>
        <w:ind w:left="160" w:right="400"/>
        <w:spacing w:after="0" w:line="247" w:lineRule="auto"/>
        <w:rPr>
          <w:sz w:val="20"/>
          <w:szCs w:val="20"/>
          <w:color w:val="auto"/>
        </w:rPr>
      </w:pPr>
      <w:r>
        <w:rPr>
          <w:rFonts w:ascii="Arial" w:cs="Arial" w:eastAsia="Arial" w:hAnsi="Arial"/>
          <w:sz w:val="18"/>
          <w:szCs w:val="18"/>
          <w:color w:val="231F20"/>
        </w:rPr>
        <w:t>Less current portion of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4"/>
                <w:szCs w:val="14"/>
                <w:color w:val="231F20"/>
              </w:rPr>
              <w:t>Cumulative collaboration</w:t>
            </w:r>
          </w:p>
        </w:tc>
        <w:tc>
          <w:tcPr>
            <w:tcW w:w="180" w:type="dxa"/>
            <w:vAlign w:val="bottom"/>
          </w:tcPr>
          <w:p>
            <w:pPr>
              <w:spacing w:after="0"/>
              <w:rPr>
                <w:sz w:val="16"/>
                <w:szCs w:val="16"/>
                <w:color w:val="auto"/>
              </w:rPr>
            </w:pPr>
          </w:p>
        </w:tc>
        <w:tc>
          <w:tcPr>
            <w:tcW w:w="170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0"/>
        </w:trPr>
        <w:tc>
          <w:tcPr>
            <w:tcW w:w="1440" w:type="dxa"/>
            <w:vAlign w:val="bottom"/>
            <w:gridSpan w:val="3"/>
          </w:tcPr>
          <w:p>
            <w:pPr>
              <w:ind w:left="80"/>
              <w:spacing w:after="0"/>
              <w:rPr>
                <w:sz w:val="20"/>
                <w:szCs w:val="20"/>
                <w:color w:val="auto"/>
              </w:rPr>
            </w:pPr>
            <w:r>
              <w:rPr>
                <w:rFonts w:ascii="Arial" w:cs="Arial" w:eastAsia="Arial" w:hAnsi="Arial"/>
                <w:sz w:val="14"/>
                <w:szCs w:val="14"/>
                <w:color w:val="231F20"/>
              </w:rPr>
              <w:t>Transaction price</w:t>
            </w:r>
          </w:p>
        </w:tc>
        <w:tc>
          <w:tcPr>
            <w:tcW w:w="140" w:type="dxa"/>
            <w:vAlign w:val="bottom"/>
          </w:tcPr>
          <w:p>
            <w:pPr>
              <w:spacing w:after="0"/>
              <w:rPr>
                <w:sz w:val="19"/>
                <w:szCs w:val="19"/>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color w:val="231F20"/>
              </w:rPr>
              <w:t>revenue recognized</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4"/>
                <w:szCs w:val="14"/>
                <w:color w:val="231F20"/>
              </w:rPr>
              <w:t>collaboration revenue</w:t>
            </w:r>
          </w:p>
        </w:tc>
      </w:tr>
      <w:tr>
        <w:trPr>
          <w:trHeight w:val="195"/>
        </w:trPr>
        <w:tc>
          <w:tcPr>
            <w:tcW w:w="360" w:type="dxa"/>
            <w:vAlign w:val="bottom"/>
            <w:tcBorders>
              <w:top w:val="single" w:sz="8" w:color="auto"/>
            </w:tcBorders>
          </w:tcPr>
          <w:p>
            <w:pPr>
              <w:jc w:val="right"/>
              <w:ind w:right="176"/>
              <w:spacing w:after="0" w:line="195" w:lineRule="exact"/>
              <w:rPr>
                <w:sz w:val="20"/>
                <w:szCs w:val="20"/>
                <w:color w:val="auto"/>
              </w:rPr>
            </w:pPr>
            <w:r>
              <w:rPr>
                <w:rFonts w:ascii="Arial" w:cs="Arial" w:eastAsia="Arial" w:hAnsi="Arial"/>
                <w:sz w:val="18"/>
                <w:szCs w:val="18"/>
                <w:color w:val="231F20"/>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99"/>
              </w:rPr>
              <w:t>$</w:t>
            </w:r>
          </w:p>
        </w:tc>
        <w:tc>
          <w:tcPr>
            <w:tcW w:w="18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109,164</w:t>
            </w:r>
          </w:p>
        </w:tc>
      </w:tr>
      <w:tr>
        <w:trPr>
          <w:trHeight w:val="234"/>
        </w:trPr>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(7,434)</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8"/>
        </w:trPr>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115,753</w:t>
            </w:r>
          </w:p>
        </w:tc>
      </w:tr>
      <w:tr>
        <w:trPr>
          <w:trHeight w:val="387"/>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09"/>
        </w:trPr>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231F20"/>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-856615</wp:posOffset>
            </wp:positionV>
            <wp:extent cx="564896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-574040</wp:posOffset>
            </wp:positionV>
            <wp:extent cx="564896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-170815</wp:posOffset>
            </wp:positionV>
            <wp:extent cx="564896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060" w:space="400"/>
            <w:col w:w="5559"/>
          </w:cols>
          <w:pgMar w:left="1440" w:top="513" w:right="1440" w:bottom="1440" w:gutter="0" w:footer="0" w:header="0"/>
          <w:type w:val="continuous"/>
        </w:sectPr>
      </w:pPr>
    </w:p>
    <w:p>
      <w:pPr>
        <w:ind w:left="60" w:right="279"/>
        <w:spacing w:after="0" w:line="247"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year ended December 31,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10—Commitments and contingencies</w:t>
      </w:r>
    </w:p>
    <w:p>
      <w:pPr>
        <w:spacing w:after="0" w:line="214"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21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299"/>
        <w:spacing w:after="0" w:line="301" w:lineRule="auto"/>
        <w:rPr>
          <w:sz w:val="20"/>
          <w:szCs w:val="20"/>
          <w:color w:val="auto"/>
        </w:rPr>
      </w:pPr>
      <w:r>
        <w:rPr>
          <w:rFonts w:ascii="Arial" w:cs="Arial" w:eastAsia="Arial" w:hAnsi="Arial"/>
          <w:sz w:val="17"/>
          <w:szCs w:val="17"/>
          <w:color w:val="auto"/>
        </w:rPr>
        <w:t>The Company had $106 within accrued liabilities as of December 31, 2023 and $110 within accounts payable as of December 31, 2022, in its consolidated balance sheets related to the Master Service Agreement.</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2023 or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11—Leases</w:t>
      </w:r>
    </w:p>
    <w:p>
      <w:pPr>
        <w:spacing w:after="0" w:line="21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$413 and $1,260 within security deposits in its consolidated balance sheets at December 31, 2023 and 2022, respectively. The Company’s leases have initial lease terms ranging from 5 to 16 years. Certain lease agreements contain provisions for future rent increases. Variable lease costs generally include common area maintenance and real estate taxes.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3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3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4"/>
                <w:szCs w:val="14"/>
                <w:color w:val="auto"/>
              </w:rPr>
              <w:t>Year Ended</w:t>
            </w:r>
          </w:p>
        </w:tc>
      </w:tr>
      <w:tr>
        <w:trPr>
          <w:trHeight w:val="171"/>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December 31, 2023</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4"/>
                <w:szCs w:val="14"/>
                <w:color w:val="auto"/>
              </w:rPr>
              <w:t>December 31, 2022</w:t>
            </w: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9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334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400" w:type="dxa"/>
            <w:vAlign w:val="bottom"/>
            <w:gridSpan w:val="2"/>
          </w:tcPr>
          <w:p>
            <w:pPr>
              <w:jc w:val="right"/>
              <w:ind w:right="287"/>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5,755</w:t>
            </w:r>
          </w:p>
        </w:tc>
        <w:tc>
          <w:tcPr>
            <w:tcW w:w="780" w:type="dxa"/>
            <w:vAlign w:val="bottom"/>
            <w:gridSpan w:val="2"/>
          </w:tcPr>
          <w:p>
            <w:pPr>
              <w:jc w:val="right"/>
              <w:ind w:right="287"/>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4,803</w:t>
            </w:r>
          </w:p>
        </w:tc>
        <w:tc>
          <w:tcPr>
            <w:tcW w:w="20" w:type="dxa"/>
            <w:vAlign w:val="bottom"/>
          </w:tcPr>
          <w:p>
            <w:pPr>
              <w:spacing w:after="0"/>
              <w:rPr>
                <w:sz w:val="17"/>
                <w:szCs w:val="17"/>
                <w:color w:val="auto"/>
              </w:rPr>
            </w:pPr>
          </w:p>
        </w:tc>
      </w:tr>
      <w:tr>
        <w:trPr>
          <w:trHeight w:val="202"/>
        </w:trPr>
        <w:tc>
          <w:tcPr>
            <w:tcW w:w="3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w:t>
            </w:r>
          </w:p>
        </w:tc>
        <w:tc>
          <w:tcPr>
            <w:tcW w:w="20" w:type="dxa"/>
            <w:vAlign w:val="bottom"/>
            <w:shd w:val="clear" w:color="auto" w:fill="CCEEFF"/>
          </w:tcPr>
          <w:p>
            <w:pPr>
              <w:spacing w:after="0"/>
              <w:rPr>
                <w:sz w:val="17"/>
                <w:szCs w:val="17"/>
                <w:color w:val="auto"/>
              </w:rPr>
            </w:pPr>
          </w:p>
        </w:tc>
      </w:tr>
      <w:tr>
        <w:trPr>
          <w:trHeight w:val="203"/>
        </w:trPr>
        <w:tc>
          <w:tcPr>
            <w:tcW w:w="33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9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w:t>
            </w: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2,600</w:t>
            </w:r>
          </w:p>
        </w:tc>
        <w:tc>
          <w:tcPr>
            <w:tcW w:w="20" w:type="dxa"/>
            <w:vAlign w:val="bottom"/>
            <w:tcBorders>
              <w:bottom w:val="single" w:sz="8" w:color="CCEEFF"/>
            </w:tcBorders>
          </w:tcPr>
          <w:p>
            <w:pPr>
              <w:spacing w:after="0"/>
              <w:rPr>
                <w:sz w:val="17"/>
                <w:szCs w:val="17"/>
                <w:color w:val="auto"/>
              </w:rPr>
            </w:pPr>
          </w:p>
        </w:tc>
      </w:tr>
      <w:tr>
        <w:trPr>
          <w:trHeight w:val="196"/>
        </w:trPr>
        <w:tc>
          <w:tcPr>
            <w:tcW w:w="3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9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8,064</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56489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color w:val="auto"/>
              </w:rPr>
              <w:t>As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color w:val="auto"/>
              </w:rPr>
              <w:t>As of</w:t>
            </w: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1120" w:type="dxa"/>
            <w:vAlign w:val="bottom"/>
            <w:gridSpan w:val="2"/>
          </w:tcPr>
          <w:p>
            <w:pPr>
              <w:jc w:val="right"/>
              <w:ind w:right="56"/>
              <w:spacing w:after="0"/>
              <w:rPr>
                <w:sz w:val="20"/>
                <w:szCs w:val="20"/>
                <w:color w:val="auto"/>
              </w:rPr>
            </w:pPr>
            <w:r>
              <w:rPr>
                <w:rFonts w:ascii="Arial" w:cs="Arial" w:eastAsia="Arial" w:hAnsi="Arial"/>
                <w:sz w:val="14"/>
                <w:szCs w:val="14"/>
                <w:color w:val="auto"/>
              </w:rPr>
              <w:t>December 31,</w:t>
            </w:r>
          </w:p>
        </w:tc>
      </w:tr>
      <w:tr>
        <w:trPr>
          <w:trHeight w:val="171"/>
        </w:trPr>
        <w:tc>
          <w:tcPr>
            <w:tcW w:w="3140" w:type="dxa"/>
            <w:vAlign w:val="bottom"/>
          </w:tcPr>
          <w:p>
            <w:pPr>
              <w:ind w:left="1360"/>
              <w:spacing w:after="0"/>
              <w:rPr>
                <w:sz w:val="20"/>
                <w:szCs w:val="20"/>
                <w:color w:val="auto"/>
              </w:rPr>
            </w:pPr>
            <w:r>
              <w:rPr>
                <w:rFonts w:ascii="Arial" w:cs="Arial" w:eastAsia="Arial" w:hAnsi="Arial"/>
                <w:sz w:val="14"/>
                <w:szCs w:val="14"/>
                <w:color w:val="auto"/>
              </w:rPr>
              <w:t>Location in Balance Sheet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2022</w:t>
            </w:r>
          </w:p>
        </w:tc>
      </w:tr>
      <w:tr>
        <w:trPr>
          <w:trHeight w:val="339"/>
        </w:trPr>
        <w:tc>
          <w:tcPr>
            <w:tcW w:w="31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20,376</w:t>
            </w:r>
          </w:p>
        </w:tc>
        <w:tc>
          <w:tcPr>
            <w:tcW w:w="160" w:type="dxa"/>
            <w:vAlign w:val="bottom"/>
          </w:tcPr>
          <w:p>
            <w:pPr>
              <w:spacing w:after="0"/>
              <w:rPr>
                <w:sz w:val="24"/>
                <w:szCs w:val="24"/>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28,945</w:t>
            </w: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160" w:type="dxa"/>
            <w:vAlign w:val="bottom"/>
          </w:tcPr>
          <w:p>
            <w:pPr>
              <w:spacing w:after="0"/>
              <w:rPr>
                <w:sz w:val="17"/>
                <w:szCs w:val="17"/>
                <w:color w:val="auto"/>
              </w:rPr>
            </w:pP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21"/>
        </w:trPr>
        <w:tc>
          <w:tcPr>
            <w:tcW w:w="314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38,698</w:t>
            </w:r>
          </w:p>
        </w:tc>
      </w:tr>
      <w:tr>
        <w:trPr>
          <w:trHeight w:val="196"/>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48,171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-548005</wp:posOffset>
            </wp:positionV>
            <wp:extent cx="564896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-290830</wp:posOffset>
            </wp:positionV>
            <wp:extent cx="564896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00"/>
            <w:col w:w="5699"/>
          </w:cols>
          <w:pgMar w:left="1440" w:top="513"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2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As of December 31, 2023</w:t>
            </w:r>
          </w:p>
        </w:tc>
        <w:tc>
          <w:tcPr>
            <w:tcW w:w="1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 of December 31, 2022</w:t>
            </w:r>
          </w:p>
        </w:tc>
        <w:tc>
          <w:tcPr>
            <w:tcW w:w="160" w:type="dxa"/>
            <w:vAlign w:val="bottom"/>
          </w:tcPr>
          <w:p>
            <w:pPr>
              <w:spacing w:after="0"/>
              <w:rPr>
                <w:sz w:val="15"/>
                <w:szCs w:val="15"/>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 years</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860"/>
              <w:spacing w:after="0" w:line="196" w:lineRule="exact"/>
              <w:rPr>
                <w:sz w:val="20"/>
                <w:szCs w:val="20"/>
                <w:color w:val="auto"/>
              </w:rPr>
            </w:pPr>
            <w:r>
              <w:rPr>
                <w:rFonts w:ascii="Arial" w:cs="Arial" w:eastAsia="Arial" w:hAnsi="Arial"/>
                <w:sz w:val="18"/>
                <w:szCs w:val="18"/>
                <w:color w:val="auto"/>
              </w:rPr>
              <w:t>9.4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9.9 %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8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For the Year Ended</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For the Year Ended</w:t>
            </w:r>
          </w:p>
        </w:tc>
        <w:tc>
          <w:tcPr>
            <w:tcW w:w="2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1560" w:type="dxa"/>
            <w:vAlign w:val="bottom"/>
            <w:gridSpan w:val="3"/>
          </w:tcPr>
          <w:p>
            <w:pPr>
              <w:ind w:left="280"/>
              <w:spacing w:after="0"/>
              <w:rPr>
                <w:sz w:val="20"/>
                <w:szCs w:val="20"/>
                <w:color w:val="auto"/>
              </w:rPr>
            </w:pPr>
            <w:r>
              <w:rPr>
                <w:rFonts w:ascii="Arial" w:cs="Arial" w:eastAsia="Arial" w:hAnsi="Arial"/>
                <w:sz w:val="14"/>
                <w:szCs w:val="14"/>
                <w:color w:val="auto"/>
              </w:rPr>
              <w:t>December 31, 2023</w:t>
            </w:r>
          </w:p>
        </w:tc>
        <w:tc>
          <w:tcPr>
            <w:tcW w:w="2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December 31, 2022</w:t>
            </w: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9,434</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5,258</w:t>
            </w:r>
          </w:p>
        </w:tc>
        <w:tc>
          <w:tcPr>
            <w:tcW w:w="2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7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19,599</w:t>
            </w:r>
          </w:p>
        </w:tc>
        <w:tc>
          <w:tcPr>
            <w:tcW w:w="2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December 31, 2023:</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6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7,811</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8,656</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8,157</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8,342</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8,533</w:t>
            </w:r>
          </w:p>
        </w:tc>
      </w:tr>
      <w:tr>
        <w:trPr>
          <w:trHeight w:val="202"/>
        </w:trPr>
        <w:tc>
          <w:tcPr>
            <w:tcW w:w="7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44,098</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85,597</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(29,121)</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Tenant incentive receivable</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(8,305)</w:t>
            </w:r>
          </w:p>
        </w:tc>
      </w:tr>
      <w:tr>
        <w:trPr>
          <w:trHeight w:val="196"/>
        </w:trPr>
        <w:tc>
          <w:tcPr>
            <w:tcW w:w="76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48,171</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During the year ended December 31, 2023, the Company recognized $4,943 in impairment on right-of-use assets. See footnote 17, “Impairment on Long-Lived Assets”.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12—Income taxes</w:t>
      </w:r>
    </w:p>
    <w:p>
      <w:pPr>
        <w:spacing w:after="0" w:line="214"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Until February 25, 2021, the Company was organized as a limited liability company, which is considered a passthrough entity for federal and state income tax purposes. As such, any taxable income or loss realized by the Company for the period ended February 25, 2021 was allocated to the members in accordance with their respective membership interest and reported on their individual tax returns.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before provision for income taxes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182"/>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Domestic</w:t>
            </w: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(135,003)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(131,314)</w:t>
            </w:r>
          </w:p>
        </w:tc>
      </w:tr>
      <w:tr>
        <w:trPr>
          <w:trHeight w:val="18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r>
      <w:tr>
        <w:trPr>
          <w:trHeight w:val="183"/>
        </w:trPr>
        <w:tc>
          <w:tcPr>
            <w:tcW w:w="65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Loss before provision for income taxes</w:t>
            </w: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(134,792)</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(130,841)</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provision for income taxes is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20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418</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current expense: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1,884</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86</w:t>
            </w: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expense: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Foreign</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650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deferred expense:</w:t>
            </w: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w:t>
            </w:r>
          </w:p>
        </w:tc>
      </w:tr>
      <w:tr>
        <w:trPr>
          <w:trHeight w:val="216"/>
        </w:trPr>
        <w:tc>
          <w:tcPr>
            <w:tcW w:w="6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2"/>
        </w:trPr>
        <w:tc>
          <w:tcPr>
            <w:tcW w:w="65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income tax expense</w:t>
            </w: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1,881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at US statutory rate</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differences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law change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6500" w:type="dxa"/>
            <w:vAlign w:val="bottom"/>
          </w:tcPr>
          <w:p>
            <w:pPr>
              <w:ind w:left="20"/>
              <w:spacing w:after="0"/>
              <w:rPr>
                <w:sz w:val="20"/>
                <w:szCs w:val="20"/>
                <w:color w:val="auto"/>
              </w:rPr>
            </w:pPr>
            <w:r>
              <w:rPr>
                <w:rFonts w:ascii="Arial" w:cs="Arial" w:eastAsia="Arial" w:hAnsi="Arial"/>
                <w:sz w:val="16"/>
                <w:szCs w:val="16"/>
                <w:color w:val="auto"/>
              </w:rPr>
              <w:t>Foreign rate differential</w:t>
            </w:r>
          </w:p>
        </w:tc>
        <w:tc>
          <w:tcPr>
            <w:tcW w:w="1100" w:type="dxa"/>
            <w:vAlign w:val="bottom"/>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18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18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65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0.0%</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deferred income tax liability balance related to the following:</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6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31,092</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35,187</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liability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Accrued expenses &amp; 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Credits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5,351</w:t>
            </w: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Capitalized R&amp;D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28,693</w:t>
            </w:r>
          </w:p>
        </w:tc>
      </w:tr>
      <w:tr>
        <w:trPr>
          <w:trHeight w:val="216"/>
        </w:trPr>
        <w:tc>
          <w:tcPr>
            <w:tcW w:w="6500" w:type="dxa"/>
            <w:vAlign w:val="bottom"/>
          </w:tcPr>
          <w:p>
            <w:pPr>
              <w:ind w:left="120"/>
              <w:spacing w:after="0"/>
              <w:rPr>
                <w:sz w:val="20"/>
                <w:szCs w:val="20"/>
                <w:color w:val="auto"/>
              </w:rPr>
            </w:pPr>
            <w:r>
              <w:rPr>
                <w:rFonts w:ascii="Arial" w:cs="Arial" w:eastAsia="Arial" w:hAnsi="Arial"/>
                <w:sz w:val="16"/>
                <w:szCs w:val="16"/>
                <w:color w:val="auto"/>
              </w:rPr>
              <w:t>Stock 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3,391</w:t>
            </w:r>
          </w:p>
        </w:tc>
      </w:tr>
      <w:tr>
        <w:trPr>
          <w:trHeight w:val="189"/>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r>
      <w:tr>
        <w:trPr>
          <w:trHeight w:val="183"/>
        </w:trPr>
        <w:tc>
          <w:tcPr>
            <w:tcW w:w="650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Total deferred tax assets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137,840</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89,767</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(127,452)</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(78,469)</w:t>
            </w:r>
          </w:p>
        </w:tc>
      </w:tr>
      <w:tr>
        <w:trPr>
          <w:trHeight w:val="183"/>
        </w:trPr>
        <w:tc>
          <w:tcPr>
            <w:tcW w:w="650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deferred tax assets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10,388</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11,298</w:t>
            </w:r>
          </w:p>
        </w:tc>
      </w:tr>
      <w:tr>
        <w:trPr>
          <w:trHeight w:val="183"/>
        </w:trPr>
        <w:tc>
          <w:tcPr>
            <w:tcW w:w="65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(3,988)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(2,264)</w:t>
            </w:r>
          </w:p>
        </w:tc>
      </w:tr>
      <w:tr>
        <w:trPr>
          <w:trHeight w:val="189"/>
        </w:trPr>
        <w:tc>
          <w:tcPr>
            <w:tcW w:w="6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(6,332)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(9,039)</w:t>
            </w:r>
          </w:p>
        </w:tc>
      </w:tr>
      <w:tr>
        <w:trPr>
          <w:trHeight w:val="189"/>
        </w:trPr>
        <w:tc>
          <w:tcPr>
            <w:tcW w:w="6500" w:type="dxa"/>
            <w:vAlign w:val="bottom"/>
          </w:tcPr>
          <w:p>
            <w:pPr>
              <w:ind w:left="120"/>
              <w:spacing w:after="0"/>
              <w:rPr>
                <w:sz w:val="20"/>
                <w:szCs w:val="20"/>
                <w:color w:val="auto"/>
              </w:rPr>
            </w:pPr>
            <w:r>
              <w:rPr>
                <w:rFonts w:ascii="Arial" w:cs="Arial" w:eastAsia="Arial" w:hAnsi="Arial"/>
                <w:sz w:val="16"/>
                <w:szCs w:val="16"/>
                <w:color w:val="auto"/>
              </w:rPr>
              <w:t>Net unrealized losses</w:t>
            </w:r>
          </w:p>
        </w:tc>
        <w:tc>
          <w:tcPr>
            <w:tcW w:w="1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500" w:type="dxa"/>
            <w:vAlign w:val="bottom"/>
            <w:tcBorders>
              <w:top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deferred tax liabilities</w:t>
            </w:r>
          </w:p>
        </w:tc>
        <w:tc>
          <w:tcPr>
            <w:tcW w:w="180" w:type="dxa"/>
            <w:vAlign w:val="bottom"/>
            <w:tcBorders>
              <w:top w:val="single" w:sz="8" w:color="CCEEFF"/>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(10,388)</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(11,303)</w:t>
            </w:r>
          </w:p>
        </w:tc>
      </w:tr>
      <w:tr>
        <w:trPr>
          <w:trHeight w:val="183"/>
        </w:trPr>
        <w:tc>
          <w:tcPr>
            <w:tcW w:w="6500" w:type="dxa"/>
            <w:vAlign w:val="bottom"/>
          </w:tcPr>
          <w:p>
            <w:pPr>
              <w:ind w:left="220"/>
              <w:spacing w:after="0" w:line="183" w:lineRule="exact"/>
              <w:rPr>
                <w:sz w:val="20"/>
                <w:szCs w:val="20"/>
                <w:color w:val="auto"/>
              </w:rPr>
            </w:pPr>
            <w:r>
              <w:rPr>
                <w:rFonts w:ascii="Arial" w:cs="Arial" w:eastAsia="Arial" w:hAnsi="Arial"/>
                <w:sz w:val="16"/>
                <w:szCs w:val="16"/>
                <w:color w:val="auto"/>
              </w:rPr>
              <w:t>Net deferred tax liability</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w:t>
            </w: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As of December 31, 2023, the Company recorded income tax expense of $ 1,881, which includes a tax provision of $199 related to its income tax obligations of its Canada operations. The Company has taxable income for tax year 2023, due primarily to revenue recognition for tax purposes from the Company's Research Collaboration and License Agreement entered into with Bristol-Myers Squibb in 2022.</w:t>
      </w:r>
    </w:p>
    <w:p>
      <w:pPr>
        <w:spacing w:after="0" w:line="174" w:lineRule="exact"/>
        <w:rPr>
          <w:sz w:val="20"/>
          <w:szCs w:val="20"/>
          <w:color w:val="auto"/>
        </w:rPr>
      </w:pPr>
    </w:p>
    <w:p>
      <w:pPr>
        <w:jc w:val="both"/>
        <w:ind w:left="60" w:right="539"/>
        <w:spacing w:after="0" w:line="253" w:lineRule="auto"/>
        <w:rPr>
          <w:sz w:val="20"/>
          <w:szCs w:val="20"/>
          <w:color w:val="auto"/>
        </w:rPr>
      </w:pPr>
      <w:r>
        <w:rPr>
          <w:rFonts w:ascii="Arial" w:cs="Arial" w:eastAsia="Arial" w:hAnsi="Arial"/>
          <w:sz w:val="18"/>
          <w:szCs w:val="18"/>
          <w:color w:val="auto"/>
        </w:rPr>
        <w:t>As of December 31, 2023, the Company had an indefinite-lived federal net operating loss carryforward of $92,896. As of December 31, 2023, the Company has state and local NOL carryforwards of $106,002 and $124,838, respectively. The state and local net operating loss carryforwards begin to expire in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2023, the Company also has federal tax credits of $11,596, which begin to expire in 2039.</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Future realization of the tax benefits of existing temporary differences and net operating loss carryforwards ultimately depends on the existence of sufficient taxable income within the carryforward period. As of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against its net deferred tax asset as of December 31, 2023 and 2022.</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We completed a study to assess whether an “ownership change” has occurred or whether there have been multiple ownership changes since we became a “loss corporation” as defined in Section 382. The study concluded an ownership change occurred in February, 2021. However, all limited NOLs and credits are available for use by the Company as of December 31, 2023. Future changes in our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the Company.</w:t>
      </w:r>
    </w:p>
    <w:p>
      <w:pPr>
        <w:spacing w:after="0" w:line="18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Tax Cuts and Jobs Act (TCJA) resulted in significant changes to the treatment of research and developmental (R&amp;D) expenditures under Section 174 of the IRC. For tax years beginning after December 31, 2021, taxpayers are required to capitalize and amortize all R&amp;D expenditures that are paid or incurred in connection with their trade or business. Specifically, costs for U.S.-based R&amp;D activities must be amortized over five years and costs for foreign R&amp;D activities must be amortized over 15 years—both using a midyear convention. As of December 31, 2023, the Company capitalized a substantial amount of R&amp;D expenditures primarily related to research and development activities that is subject to the amortization for tax purposes.</w:t>
      </w:r>
    </w:p>
    <w:p>
      <w:pPr>
        <w:spacing w:after="0" w:line="18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7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record uncertain tax positions as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2023 and 2022 we have not recorded any uncertain tax positions in our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As of December 31, 2023 and 2022, no accrued interest or penalties are included on the related tax liability line in the consolidated balance sheet.</w:t>
      </w:r>
    </w:p>
    <w:p>
      <w:pPr>
        <w:spacing w:after="0" w:line="169"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2020, to the present. The resolution of tax matters is not expected to have a material effect on the Company's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13—Basic and diluted net loss per common share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color w:val="auto"/>
              </w:rPr>
              <w:t>Year Ended</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(136,673)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(130,932)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Weighted-average common shares for basic and diluted net loss per</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59,314,389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57,755,842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potentially dilutive securities, which include RSUs,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years ended December 31, 2023 and 2022 because including them would have had an anti-dilutive effect.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Year Ended</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Year Ended</w:t>
            </w:r>
          </w:p>
        </w:tc>
      </w:tr>
      <w:tr>
        <w:trPr>
          <w:trHeight w:val="162"/>
        </w:trPr>
        <w:tc>
          <w:tcPr>
            <w:tcW w:w="63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December 31,</w:t>
            </w:r>
          </w:p>
        </w:tc>
        <w:tc>
          <w:tcPr>
            <w:tcW w:w="120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8,714,660</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7,489,678</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119,280</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470,800</w:t>
            </w:r>
          </w:p>
        </w:tc>
      </w:tr>
      <w:tr>
        <w:trPr>
          <w:trHeight w:val="202"/>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49,416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193,031</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3,721,471</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12,636,836</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8,185,518</w:t>
            </w: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14—Defined contribution plan</w:t>
      </w:r>
    </w:p>
    <w:p>
      <w:pPr>
        <w:spacing w:after="0" w:line="21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$1,287 and $862 for the year ended December 31, 2023 and 2022 respectively. Such contribution expense has been recognized in the consolidated statement of operations for each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15—Stock-based compensation</w:t>
      </w:r>
    </w:p>
    <w:p>
      <w:pPr>
        <w:spacing w:after="0" w:line="21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restricted stock units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2022, the 2021 Incentive Plan reserved shares were increased under clause (i) by 2,750,276 shares, effective as of January 1, 2022. For 2023, the 2021 Incentive Plan reserved shares were increased under clause (i) by 2,954,788 shares, effective as of January 1, 2023. As of December 31, 2023, there were 3,124,544 shares available for issuance under the 2021 Incentive Plan. In January 2024, common shares reserved for issuance under the 2021 Incentive Plan increased by 3,025,220 shares.</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2023, the Company had reserved shares of common stock for issuance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660" w:type="dxa"/>
            <w:vAlign w:val="bottom"/>
          </w:tcPr>
          <w:p>
            <w:pPr>
              <w:jc w:val="right"/>
              <w:ind w:right="514"/>
              <w:spacing w:after="0"/>
              <w:rPr>
                <w:sz w:val="20"/>
                <w:szCs w:val="20"/>
                <w:color w:val="auto"/>
              </w:rPr>
            </w:pPr>
            <w:r>
              <w:rPr>
                <w:rFonts w:ascii="Arial" w:cs="Arial" w:eastAsia="Arial" w:hAnsi="Arial"/>
                <w:sz w:val="14"/>
                <w:szCs w:val="14"/>
                <w:color w:val="auto"/>
              </w:rPr>
              <w:t>Shares</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12,436,131</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3,128,244</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1,019,241</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16,583,616</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December 31, 2023 are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Shares</w:t>
            </w:r>
          </w:p>
        </w:tc>
      </w:tr>
      <w:tr>
        <w:trPr>
          <w:trHeight w:val="200"/>
        </w:trPr>
        <w:tc>
          <w:tcPr>
            <w:tcW w:w="724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b w:val="1"/>
                <w:bCs w:val="1"/>
                <w:color w:val="auto"/>
              </w:rPr>
              <w:t>Balance, December 31, 2022</w:t>
            </w:r>
          </w:p>
        </w:tc>
        <w:tc>
          <w:tcPr>
            <w:tcW w:w="1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5,786,358</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2,954,788</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(5,180,052)</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(3,908,729)</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3,475,879</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December 31, 2023</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3,128,244</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year ended December 31, 2023:</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75"/>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jc w:val="center"/>
              <w:ind w:left="88"/>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Exercise Price</w:t>
            </w: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January 1, 2023</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7,489,678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5,180,052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(666,449)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(3,154,439)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7.05</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(134,182)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Outstanding, December 31, 2023</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8,714,660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Exercisable at December 31, 2023</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3,938,006</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weighted average grant date fair value of awards for options granted during the period ended December 31, 2023 was $2.82. As of December 31, 2023, there was $17,566 of total unrecognized compensation expense related to unvested stock options with time-based vesting terms, which is expected to be recognized over a weighted average period of 2.57 years. The aggregate intrinsic value of options vested and exercisable as of December 31, 2023 and 2022 is calculated based on the difference between the exercise price and the fair value of our common stock. The intrinsic value of options exercised in 2023 and 2022 was $2,923 and $6,864, respectively.</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 2023</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31, 2022</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dividend rate</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Expected option term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18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77.87 %</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73.52 %</w:t>
            </w:r>
          </w:p>
        </w:tc>
      </w:tr>
      <w:tr>
        <w:trPr>
          <w:trHeight w:val="239"/>
        </w:trPr>
        <w:tc>
          <w:tcPr>
            <w:tcW w:w="5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3.68 %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2.04 %</w:t>
            </w:r>
          </w:p>
        </w:tc>
      </w:tr>
    </w:tbl>
    <w:p>
      <w:pPr>
        <w:spacing w:after="0" w:line="147"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were allocated to research and development and general and administrative expense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color w:val="auto"/>
              </w:rPr>
              <w:t>Year Ended</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Year Ended</w:t>
            </w:r>
          </w:p>
        </w:tc>
      </w:tr>
      <w:tr>
        <w:trPr>
          <w:trHeight w:val="203"/>
        </w:trPr>
        <w:tc>
          <w:tcPr>
            <w:tcW w:w="666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color w:val="auto"/>
              </w:rPr>
              <w:t>December 31,</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December 31,</w:t>
            </w:r>
          </w:p>
        </w:tc>
      </w:tr>
      <w:tr>
        <w:trPr>
          <w:trHeight w:val="207"/>
        </w:trPr>
        <w:tc>
          <w:tcPr>
            <w:tcW w:w="6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rPr>
              <w:t>2022</w:t>
            </w:r>
          </w:p>
        </w:tc>
      </w:tr>
      <w:tr>
        <w:trPr>
          <w:trHeight w:val="200"/>
        </w:trPr>
        <w:tc>
          <w:tcPr>
            <w:tcW w:w="66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8,572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5,715</w:t>
            </w:r>
          </w:p>
        </w:tc>
      </w:tr>
      <w:tr>
        <w:trPr>
          <w:trHeight w:val="203"/>
        </w:trPr>
        <w:tc>
          <w:tcPr>
            <w:tcW w:w="6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6,050</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4,954</w:t>
            </w:r>
          </w:p>
        </w:tc>
      </w:tr>
      <w:tr>
        <w:trPr>
          <w:trHeight w:val="196"/>
        </w:trPr>
        <w:tc>
          <w:tcPr>
            <w:tcW w:w="66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10,669</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0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 included within the condensed consolidated statements of operations is as follows: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3"/>
        </w:trPr>
        <w:tc>
          <w:tcPr>
            <w:tcW w:w="6660" w:type="dxa"/>
            <w:vAlign w:val="bottom"/>
          </w:tcPr>
          <w:p>
            <w:pPr>
              <w:spacing w:after="0"/>
              <w:rPr>
                <w:sz w:val="24"/>
                <w:szCs w:val="2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color w:val="auto"/>
              </w:rPr>
              <w:t>Year Ended</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Year Ended</w:t>
            </w:r>
          </w:p>
        </w:tc>
      </w:tr>
      <w:tr>
        <w:trPr>
          <w:trHeight w:val="203"/>
        </w:trPr>
        <w:tc>
          <w:tcPr>
            <w:tcW w:w="666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color w:val="auto"/>
              </w:rPr>
              <w:t>December 31,</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December 31,</w:t>
            </w:r>
          </w:p>
        </w:tc>
      </w:tr>
      <w:tr>
        <w:trPr>
          <w:trHeight w:val="207"/>
        </w:trPr>
        <w:tc>
          <w:tcPr>
            <w:tcW w:w="6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rPr>
              <w:t>2022</w:t>
            </w:r>
          </w:p>
        </w:tc>
      </w:tr>
      <w:tr>
        <w:trPr>
          <w:trHeight w:val="200"/>
        </w:trPr>
        <w:tc>
          <w:tcPr>
            <w:tcW w:w="66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10,125</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9,691</w:t>
            </w: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4,023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awards</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r>
      <w:tr>
        <w:trPr>
          <w:trHeight w:val="203"/>
        </w:trPr>
        <w:tc>
          <w:tcPr>
            <w:tcW w:w="6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10,669</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for the year ended December 31, 2023:</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Weighted Average</w:t>
            </w:r>
          </w:p>
        </w:tc>
      </w:tr>
      <w:tr>
        <w:trPr>
          <w:trHeight w:val="206"/>
        </w:trPr>
        <w:tc>
          <w:tcPr>
            <w:tcW w:w="6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Shares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360" w:type="dxa"/>
            <w:vAlign w:val="bottom"/>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3,908,729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(187,258)</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r>
      <w:tr>
        <w:trPr>
          <w:trHeight w:val="196"/>
        </w:trPr>
        <w:tc>
          <w:tcPr>
            <w:tcW w:w="63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3,721,471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December 31, 2023, there was $6,405 of total unrecognized compensation expense related to the unvested restricted stock with time-based vesting terms, which is expected to be recognized over a weighted average period of 2.44 years.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December 31, 2023:</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6280" w:type="dxa"/>
            <w:vAlign w:val="bottom"/>
          </w:tcPr>
          <w:p>
            <w:pPr>
              <w:spacing w:after="0"/>
              <w:rPr>
                <w:sz w:val="14"/>
                <w:szCs w:val="14"/>
                <w:color w:val="auto"/>
              </w:rPr>
            </w:pPr>
          </w:p>
        </w:tc>
        <w:tc>
          <w:tcPr>
            <w:tcW w:w="1160" w:type="dxa"/>
            <w:vAlign w:val="bottom"/>
            <w:gridSpan w:val="2"/>
          </w:tcPr>
          <w:p>
            <w:pPr>
              <w:ind w:left="48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193,031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(47,738)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(95,877)</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96"/>
        </w:trPr>
        <w:tc>
          <w:tcPr>
            <w:tcW w:w="62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2023</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
        </w:trPr>
        <w:tc>
          <w:tcPr>
            <w:tcW w:w="6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of December 30, 2023, there was $311 of total unrecognized compensation expense related to the unvested restricted stock with time-based vesting terms, which is expected to be recognized over a weighted average period of 1.22 years. All restricted stock vests over a four-year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210"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$640 was recorded as a deposit liability on the Company’s balance sheet, totaling $640 and $1,589 as of December 31, 2023 and 2022,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Employee Stock Purchase Plan was adopted by the board of directors in May 2021, a total of 564,071 shares of common stock were initially reserved for issuance under this plan, which shall be increased, upon approval of the board of directors, on January 1, 2022 and each January 1 thereafter, to the lesser of (i) on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the clause (i) by 550,055 shares, effective as of January 1, 2022. For 2023, the board waived the annual increase to the shares reserved under the ESPP. As of December 31, 2023, there were 1,019,241 shares available for issuance, under the ESPP.</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16—Related party transactions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 and Collaboration Agreements with Shareholder</w:t>
      </w:r>
    </w:p>
    <w:p>
      <w:pPr>
        <w:spacing w:after="0" w:line="21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October 2019, the Company entered into the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Licenses (as defined below).</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6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amends the Reprogramming Licenses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8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The Company recorded an upfront payment in the amount of $4,000 which is included as In-Process research and development. In addition, Century paid FCDI a $1,000 milestone fee pursuant to the Autoimmune License for filing of the IND for SLE for CNTY-101, which is also included in In-Process research and development in the consolidated statements of operations as of December 31, 2023.</w:t>
      </w:r>
    </w:p>
    <w:p>
      <w:pPr>
        <w:spacing w:after="0" w:line="180"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During the years ended December 31, 2023 and 2022, the Company made payments of $5,200 and $15,100 and incurred research and development expenses of $0 and $4,900, in-process research and development expenses of $5,000 and $10,000 and legal fees of $200 and $200, respectively, related to the FCDI agreements. The legal fees are recorded within general and administrative expenses in the consolidated statements of operations and comprehensive loss.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1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Bayer Health, LLC (“Bayer”), a shareholder in the Company,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 – Impairment of long-lived assets</w:t>
      </w:r>
    </w:p>
    <w:p>
      <w:pPr>
        <w:spacing w:after="0" w:line="2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During 2023, the Company made the strategic decision to consolidate multiple existing leased lab facilities in Philadelphia and Seattle. The Company completed an impairment analysis of its right of use assets related to the impacted leases along with the related property and equipment at each facility (the “Asset Groups”). The Company reviewed its long-lived assets for impairment following ASC 360 for Property, Plant, and Equipment. The Company evaluated its long-lived assets for recoverability due to changes in circumstances that indicated that the carrying amounts may not be recoverable.</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reviewed each Asset Group for impairment by comparing the carrying values of the assets with their estimated future undiscounted cash flows. An impairment charge was calculated as the difference between asset carrying values and fair value of discounted cash flows. Indicative fair market quotes received are considered level three fair value estimates.</w:t>
      </w:r>
    </w:p>
    <w:p>
      <w:pPr>
        <w:spacing w:after="0" w:line="16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analyzed each Asset Group for impairment based on fair values calculated as discounted cash flows estimated to be received from the lease assets where applicable. The difference between fair value and carrying value of the Asset Groups was recognized as an impairment of $16,365 during the year ended December 31, 2023.</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 – Subsequent Events</w:t>
      </w:r>
    </w:p>
    <w:p>
      <w:pPr>
        <w:spacing w:after="0" w:line="20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the first quarter of 2024, 4,084,502 shares of common stock have been issued and sold pursuant to the Sales Agreement at a weighted-average price of $4.50 per share, resulting in approximately $18,380 in gross proceeds.</w:t>
      </w:r>
    </w:p>
    <w:p>
      <w:pPr>
        <w:spacing w:after="0" w:line="371" w:lineRule="exact"/>
        <w:rPr>
          <w:sz w:val="20"/>
          <w:szCs w:val="20"/>
          <w:color w:val="auto"/>
        </w:rPr>
      </w:pPr>
    </w:p>
    <w:p>
      <w:pPr>
        <w:ind w:left="60" w:right="119"/>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Disclosure Controls and Procedures</w:t>
      </w:r>
    </w:p>
    <w:p>
      <w:pPr>
        <w:spacing w:after="0" w:line="2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interim Principal Financial Officer, evaluated the effectiveness of our disclosure controls and procedures as of the end of the period covered by this Annual Report on Form 10-K. Based on that evaluation, our Chief Executive Officer and our interim Principal Financial Officer concluded that our disclosure controls and procedures were effective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consolidated financial statements for external purposes in accordance with GAAP.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w:t>
      </w:r>
    </w:p>
    <w:p>
      <w:pPr>
        <w:spacing w:after="0" w:line="18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in Internal Control-Integrated Framework. Based on our evaluation, management has concluded that our internal control over financial reporting was effective as of December 31, 2023. Management reviewed the results of this assessment with our audit committee.</w:t>
      </w:r>
    </w:p>
    <w:p>
      <w:pPr>
        <w:spacing w:after="0" w:line="17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For as long as we remain an “emerging growth company” as defined in Section 2(a) of the Securities Act, as modified by the Jumpstart Our Business 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There were no changes to our internal control over financial reporting that occurred during our most recent fiscal quarter that has materially affected, or is reasonably likely to materially affect, our internal control over financial reporting.</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20" w:hanging="319"/>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20" w:right="99" w:hanging="319"/>
        <w:spacing w:after="0" w:line="24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the fourth quarter of the fiscal year ended December 31, 2023, no director of “officer” as defined in Rule 16a-1(f) under the Exchange Act adopted or terminated any Rule 10b5-1 trading plan or arrangements or any non-Rule 10b5-1 trading plan or arrangements, in both cases as defined in Item 408(a) of Regulation S-K.</w:t>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2024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2024 annual meeting of stockholders.</w:t>
      </w:r>
    </w:p>
    <w:p>
      <w:pPr>
        <w:spacing w:after="0" w:line="140" w:lineRule="exact"/>
        <w:rPr>
          <w:sz w:val="20"/>
          <w:szCs w:val="20"/>
          <w:color w:val="auto"/>
        </w:rPr>
      </w:pPr>
    </w:p>
    <w:p>
      <w:pPr>
        <w:ind w:left="60" w:right="75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12 of Form 10-K is incorporated by reference to the information contained in our definitive proxy statement for the 2024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13 of Form 10-K is incorporated by reference to the information contained in our definitive proxy statement for the 2024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Our independent public accounting firm is Ernst &amp; Young, LLP, Philadelphia, Pennsylvania, PCAOB Auditor ID:42</w:t>
      </w:r>
    </w:p>
    <w:p>
      <w:pPr>
        <w:spacing w:after="0" w:line="14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14 of Form 10-K is incorporated by reference to the information contained in our definitive proxy statement for the 2024 annual meeting of stockholders.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Index to the Consolidated Financial Statements on page F-1 of this Annual Report.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(a)(2) Financial Statement Schedules</w:t>
      </w:r>
    </w:p>
    <w:p>
      <w:pPr>
        <w:spacing w:after="0" w:line="212"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(b)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Exhibit</w:t>
            </w:r>
          </w:p>
        </w:tc>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Number</w:t>
            </w:r>
          </w:p>
        </w:tc>
        <w:tc>
          <w:tcPr>
            <w:tcW w:w="2840" w:type="dxa"/>
            <w:vAlign w:val="bottom"/>
          </w:tcPr>
          <w:p>
            <w:pPr>
              <w:spacing w:after="0"/>
              <w:rPr>
                <w:sz w:val="17"/>
                <w:szCs w:val="17"/>
                <w:color w:val="auto"/>
              </w:rPr>
            </w:pPr>
          </w:p>
        </w:tc>
        <w:tc>
          <w:tcPr>
            <w:tcW w:w="4720" w:type="dxa"/>
            <w:vAlign w:val="bottom"/>
            <w:gridSpan w:val="21"/>
          </w:tcPr>
          <w:p>
            <w:pPr>
              <w:ind w:left="2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8"/>
              </w:rPr>
              <w:t>3.1</w:t>
            </w:r>
          </w:p>
        </w:tc>
        <w:tc>
          <w:tcPr>
            <w:tcW w:w="280" w:type="dxa"/>
            <w:vAlign w:val="bottom"/>
          </w:tcPr>
          <w:p>
            <w:pPr>
              <w:spacing w:after="0"/>
              <w:rPr>
                <w:sz w:val="13"/>
                <w:szCs w:val="13"/>
                <w:color w:val="auto"/>
              </w:rPr>
            </w:pPr>
          </w:p>
        </w:tc>
        <w:tc>
          <w:tcPr>
            <w:tcW w:w="7560" w:type="dxa"/>
            <w:vAlign w:val="bottom"/>
            <w:tcBorders>
              <w:top w:val="single" w:sz="8" w:color="auto"/>
            </w:tcBorders>
            <w:gridSpan w:val="22"/>
          </w:tcPr>
          <w:p>
            <w:pPr>
              <w:spacing w:after="0" w:line="155" w:lineRule="exact"/>
              <w:rPr>
                <w:rFonts w:ascii="Arial" w:cs="Arial" w:eastAsia="Arial" w:hAnsi="Arial"/>
                <w:sz w:val="16"/>
                <w:szCs w:val="16"/>
                <w:color w:val="0000EE"/>
              </w:rPr>
            </w:pPr>
            <w:hyperlink r:id="rId281">
              <w:r>
                <w:rPr>
                  <w:rFonts w:ascii="Arial" w:cs="Arial" w:eastAsia="Arial" w:hAnsi="Arial"/>
                  <w:sz w:val="16"/>
                  <w:szCs w:val="16"/>
                  <w:color w:val="0000EE"/>
                </w:rPr>
                <w:t>Second Amended and Restated Certificate of Incorporation (incorporated by reference to Exhibit 3.1 of</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34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281">
              <w:r>
                <w:rPr>
                  <w:rFonts w:ascii="Arial" w:cs="Arial" w:eastAsia="Arial" w:hAnsi="Arial"/>
                  <w:sz w:val="16"/>
                  <w:szCs w:val="16"/>
                  <w:color w:val="0000EE"/>
                </w:rPr>
                <w:t>the Company’s Current Report on Form 8-K (File No. 001-40498) filed on June 25, 2021)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3.2</w:t>
            </w: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82">
              <w:r>
                <w:rPr>
                  <w:rFonts w:ascii="Arial" w:cs="Arial" w:eastAsia="Arial" w:hAnsi="Arial"/>
                  <w:sz w:val="16"/>
                  <w:szCs w:val="16"/>
                  <w:color w:val="0000EE"/>
                </w:rPr>
                <w:t>Second Amended and Restated Bylaws (incorporated by reference to Exhibit 3.2 of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82">
              <w:r>
                <w:rPr>
                  <w:rFonts w:ascii="Arial" w:cs="Arial" w:eastAsia="Arial" w:hAnsi="Arial"/>
                  <w:sz w:val="16"/>
                  <w:szCs w:val="16"/>
                  <w:color w:val="0000EE"/>
                </w:rPr>
                <w:t>Annual Report on Form 10-K (File No. 001-40498) filed on March 16, 2023)</w:t>
              </w:r>
            </w:hyperlink>
          </w:p>
        </w:tc>
        <w:tc>
          <w:tcPr>
            <w:tcW w:w="1680" w:type="dxa"/>
            <w:vAlign w:val="bottom"/>
            <w:tcBorders>
              <w:top w:val="single" w:sz="8" w:color="0000EE"/>
            </w:tcBorders>
            <w:gridSpan w:val="9"/>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4.1</w:t>
            </w: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83">
              <w:r>
                <w:rPr>
                  <w:rFonts w:ascii="Arial" w:cs="Arial" w:eastAsia="Arial" w:hAnsi="Arial"/>
                  <w:sz w:val="16"/>
                  <w:szCs w:val="16"/>
                  <w:color w:val="0000EE"/>
                </w:rPr>
                <w:t>Specimen Common Stock Certificate of Registrant (incorporated by reference to Exhibit 4.1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98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283">
              <w:r>
                <w:rPr>
                  <w:rFonts w:ascii="Arial" w:cs="Arial" w:eastAsia="Arial" w:hAnsi="Arial"/>
                  <w:sz w:val="16"/>
                  <w:szCs w:val="16"/>
                  <w:color w:val="0000EE"/>
                </w:rPr>
                <w:t>Company’s Registration Statement on Form S-1/A (File No. 333-256648), dated June 14, 2021)</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4.2</w:t>
            </w:r>
          </w:p>
        </w:tc>
        <w:tc>
          <w:tcPr>
            <w:tcW w:w="280" w:type="dxa"/>
            <w:vAlign w:val="bottom"/>
          </w:tcPr>
          <w:p>
            <w:pPr>
              <w:spacing w:after="0"/>
              <w:rPr>
                <w:sz w:val="20"/>
                <w:szCs w:val="20"/>
                <w:color w:val="auto"/>
              </w:rPr>
            </w:pPr>
          </w:p>
        </w:tc>
        <w:tc>
          <w:tcPr>
            <w:tcW w:w="7420" w:type="dxa"/>
            <w:vAlign w:val="bottom"/>
            <w:tcBorders>
              <w:bottom w:val="single" w:sz="8" w:color="0000EE"/>
            </w:tcBorders>
            <w:gridSpan w:val="17"/>
          </w:tcPr>
          <w:p>
            <w:pPr>
              <w:spacing w:after="0"/>
              <w:rPr>
                <w:rFonts w:ascii="Arial" w:cs="Arial" w:eastAsia="Arial" w:hAnsi="Arial"/>
                <w:sz w:val="16"/>
                <w:szCs w:val="16"/>
                <w:color w:val="0000EE"/>
              </w:rPr>
            </w:pPr>
            <w:hyperlink r:id="rId284">
              <w:r>
                <w:rPr>
                  <w:rFonts w:ascii="Arial" w:cs="Arial" w:eastAsia="Arial" w:hAnsi="Arial"/>
                  <w:sz w:val="16"/>
                  <w:szCs w:val="16"/>
                  <w:color w:val="0000EE"/>
                </w:rPr>
                <w:t>Description of the Registrant’s Securities Registered Pursuant to Section 12 of the Securities Exchange</w:t>
              </w:r>
            </w:hyperlink>
          </w:p>
        </w:tc>
        <w:tc>
          <w:tcPr>
            <w:tcW w:w="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2"/>
          </w:tcPr>
          <w:p>
            <w:pPr>
              <w:spacing w:after="0" w:line="169" w:lineRule="exact"/>
              <w:rPr>
                <w:rFonts w:ascii="Arial" w:cs="Arial" w:eastAsia="Arial" w:hAnsi="Arial"/>
                <w:sz w:val="16"/>
                <w:szCs w:val="16"/>
                <w:color w:val="0000EE"/>
              </w:rPr>
            </w:pPr>
            <w:hyperlink r:id="rId284">
              <w:r>
                <w:rPr>
                  <w:rFonts w:ascii="Arial" w:cs="Arial" w:eastAsia="Arial" w:hAnsi="Arial"/>
                  <w:sz w:val="16"/>
                  <w:szCs w:val="16"/>
                  <w:color w:val="0000EE"/>
                </w:rPr>
                <w:t>Act of 1934 (incorporated by reference to Exhibit 4.2 to the Company’s Annual Report on Form 10-K (File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2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284">
              <w:r>
                <w:rPr>
                  <w:rFonts w:ascii="Arial" w:cs="Arial" w:eastAsia="Arial" w:hAnsi="Arial"/>
                  <w:sz w:val="16"/>
                  <w:szCs w:val="16"/>
                  <w:color w:val="0000EE"/>
                </w:rPr>
                <w:t>No. 001-40498), dated March 17, 2022)</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4.3</w:t>
            </w: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85">
              <w:r>
                <w:rPr>
                  <w:rFonts w:ascii="Arial" w:cs="Arial" w:eastAsia="Arial" w:hAnsi="Arial"/>
                  <w:sz w:val="16"/>
                  <w:szCs w:val="16"/>
                  <w:color w:val="0000EE"/>
                </w:rPr>
                <w:t>Investors’ Rights Agreement, by and among the Registrant and each of the investors listed on Schedule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4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285">
              <w:r>
                <w:rPr>
                  <w:rFonts w:ascii="Arial" w:cs="Arial" w:eastAsia="Arial" w:hAnsi="Arial"/>
                  <w:sz w:val="16"/>
                  <w:szCs w:val="16"/>
                  <w:color w:val="0000EE"/>
                </w:rPr>
                <w:t>A thereto, dated February 25, 2021 (incorporated by reference to Exhibit 4.2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85">
              <w:r>
                <w:rPr>
                  <w:rFonts w:ascii="Arial" w:cs="Arial" w:eastAsia="Arial" w:hAnsi="Arial"/>
                  <w:sz w:val="16"/>
                  <w:szCs w:val="16"/>
                  <w:color w:val="0000EE"/>
                </w:rPr>
                <w:t>Registration Statement on Form S-1 (File No. 333-256648), dated May 28, 2021)</w:t>
              </w:r>
            </w:hyperlink>
          </w:p>
        </w:tc>
        <w:tc>
          <w:tcPr>
            <w:tcW w:w="960" w:type="dxa"/>
            <w:vAlign w:val="bottom"/>
            <w:tcBorders>
              <w:top w:val="single" w:sz="8" w:color="0000EE"/>
            </w:tcBorders>
            <w:gridSpan w:val="3"/>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8"/>
              </w:rPr>
              <w:t>4.4</w:t>
            </w: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86">
              <w:r>
                <w:rPr>
                  <w:rFonts w:ascii="Arial" w:cs="Arial" w:eastAsia="Arial" w:hAnsi="Arial"/>
                  <w:sz w:val="16"/>
                  <w:szCs w:val="16"/>
                  <w:color w:val="0000EE"/>
                </w:rPr>
                <w:t>Warrant to Purchase Units of Century Therapeutics, LLC, in favor of Hercules Technology Management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286">
              <w:r>
                <w:rPr>
                  <w:rFonts w:ascii="Arial" w:cs="Arial" w:eastAsia="Arial" w:hAnsi="Arial"/>
                  <w:sz w:val="16"/>
                  <w:szCs w:val="16"/>
                  <w:color w:val="0000EE"/>
                </w:rPr>
                <w:t>Co II, Inc., dated September 14, 2020 (incorporated by reference to Exhibit 4.3 to the Company’s</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86">
              <w:r>
                <w:rPr>
                  <w:rFonts w:ascii="Arial" w:cs="Arial" w:eastAsia="Arial" w:hAnsi="Arial"/>
                  <w:sz w:val="16"/>
                  <w:szCs w:val="16"/>
                  <w:color w:val="0000EE"/>
                </w:rPr>
                <w:t>Registration Statement on Form S-1 (File No. 333-256648), dated May 28, 2021)</w:t>
              </w:r>
            </w:hyperlink>
          </w:p>
        </w:tc>
        <w:tc>
          <w:tcPr>
            <w:tcW w:w="1140" w:type="dxa"/>
            <w:vAlign w:val="bottom"/>
            <w:tcBorders>
              <w:top w:val="single" w:sz="8" w:color="0000EE"/>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10.1</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000" w:type="dxa"/>
            <w:vAlign w:val="bottom"/>
            <w:tcBorders>
              <w:bottom w:val="single" w:sz="8" w:color="0000EE"/>
            </w:tcBorders>
            <w:gridSpan w:val="12"/>
          </w:tcPr>
          <w:p>
            <w:pPr>
              <w:spacing w:after="0"/>
              <w:rPr>
                <w:rFonts w:ascii="Arial" w:cs="Arial" w:eastAsia="Arial" w:hAnsi="Arial"/>
                <w:sz w:val="16"/>
                <w:szCs w:val="16"/>
                <w:color w:val="0000EE"/>
              </w:rPr>
            </w:pPr>
            <w:hyperlink r:id="rId287">
              <w:r>
                <w:rPr>
                  <w:rFonts w:ascii="Arial" w:cs="Arial" w:eastAsia="Arial" w:hAnsi="Arial"/>
                  <w:sz w:val="16"/>
                  <w:szCs w:val="16"/>
                  <w:color w:val="0000EE"/>
                </w:rPr>
                <w:t>Form of Indemnification Agreement by and between the Registrant and its individual directors and</w:t>
              </w:r>
            </w:hyperlink>
          </w:p>
        </w:tc>
        <w:tc>
          <w:tcPr>
            <w:tcW w:w="56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2"/>
          </w:tcPr>
          <w:p>
            <w:pPr>
              <w:spacing w:after="0" w:line="169" w:lineRule="exact"/>
              <w:rPr>
                <w:rFonts w:ascii="Arial" w:cs="Arial" w:eastAsia="Arial" w:hAnsi="Arial"/>
                <w:sz w:val="16"/>
                <w:szCs w:val="16"/>
                <w:color w:val="0000EE"/>
              </w:rPr>
            </w:pPr>
            <w:hyperlink r:id="rId287">
              <w:r>
                <w:rPr>
                  <w:rFonts w:ascii="Arial" w:cs="Arial" w:eastAsia="Arial" w:hAnsi="Arial"/>
                  <w:sz w:val="16"/>
                  <w:szCs w:val="16"/>
                  <w:color w:val="0000EE"/>
                </w:rPr>
                <w:t>officers (incorporated by reference to Exhibit 10.1 to the Company’s Registration Statement on Form S-1</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87">
              <w:r>
                <w:rPr>
                  <w:rFonts w:ascii="Arial" w:cs="Arial" w:eastAsia="Arial" w:hAnsi="Arial"/>
                  <w:sz w:val="16"/>
                  <w:szCs w:val="16"/>
                  <w:color w:val="0000EE"/>
                </w:rPr>
                <w:t>(File No. 333-256648), dated May 28, 2021)</w:t>
              </w:r>
            </w:hyperlink>
          </w:p>
        </w:tc>
        <w:tc>
          <w:tcPr>
            <w:tcW w:w="4320" w:type="dxa"/>
            <w:vAlign w:val="bottom"/>
            <w:tcBorders>
              <w:top w:val="single" w:sz="8" w:color="0000EE"/>
            </w:tcBorders>
            <w:gridSpan w:val="18"/>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10.2</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88">
              <w:r>
                <w:rPr>
                  <w:rFonts w:ascii="Arial" w:cs="Arial" w:eastAsia="Arial" w:hAnsi="Arial"/>
                  <w:sz w:val="16"/>
                  <w:szCs w:val="16"/>
                  <w:color w:val="0000EE"/>
                </w:rPr>
                <w:t>2018 Stock Option and Grant Plan (incorporated by reference to Exhibit 10.2 to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88">
              <w:r>
                <w:rPr>
                  <w:rFonts w:ascii="Arial" w:cs="Arial" w:eastAsia="Arial" w:hAnsi="Arial"/>
                  <w:sz w:val="16"/>
                  <w:szCs w:val="16"/>
                  <w:color w:val="0000EE"/>
                </w:rPr>
                <w:t>Registration Statement on Form S-1 (File No. 333-256648), dated May 28, 2021)</w:t>
              </w:r>
            </w:hyperlink>
          </w:p>
        </w:tc>
        <w:tc>
          <w:tcPr>
            <w:tcW w:w="1040" w:type="dxa"/>
            <w:vAlign w:val="bottom"/>
            <w:tcBorders>
              <w:top w:val="single" w:sz="8" w:color="0000EE"/>
            </w:tcBorders>
            <w:gridSpan w:val="4"/>
          </w:tcPr>
          <w:p>
            <w:pPr>
              <w:spacing w:after="0"/>
              <w:rPr>
                <w:sz w:val="14"/>
                <w:szCs w:val="14"/>
                <w:color w:val="auto"/>
              </w:rPr>
            </w:pPr>
          </w:p>
        </w:tc>
        <w:tc>
          <w:tcPr>
            <w:tcW w:w="300" w:type="dxa"/>
            <w:vAlign w:val="bottom"/>
            <w:gridSpan w:val="5"/>
          </w:tcPr>
          <w:p>
            <w:pPr>
              <w:spacing w:after="0"/>
              <w:rPr>
                <w:sz w:val="14"/>
                <w:szCs w:val="14"/>
                <w:color w:val="auto"/>
              </w:rPr>
            </w:pPr>
          </w:p>
        </w:tc>
        <w:tc>
          <w:tcPr>
            <w:tcW w:w="32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7"/>
              </w:rPr>
              <w:t>10.3</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89">
              <w:r>
                <w:rPr>
                  <w:rFonts w:ascii="Arial" w:cs="Arial" w:eastAsia="Arial" w:hAnsi="Arial"/>
                  <w:sz w:val="16"/>
                  <w:szCs w:val="16"/>
                  <w:color w:val="0000EE"/>
                </w:rPr>
                <w:t>Amendment No. 1 to 2018 Stock Option and Grant Plan (incorporated by reference to Exhibit 10.3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89">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10.4</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90">
              <w:r>
                <w:rPr>
                  <w:rFonts w:ascii="Arial" w:cs="Arial" w:eastAsia="Arial" w:hAnsi="Arial"/>
                  <w:sz w:val="16"/>
                  <w:szCs w:val="16"/>
                  <w:color w:val="0000EE"/>
                </w:rPr>
                <w:t>Amendment No. 2 to 2018 Stock Option and Grant Plan (incorporated by reference to Exhibit 10.4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90">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10.5</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91">
              <w:r>
                <w:rPr>
                  <w:rFonts w:ascii="Arial" w:cs="Arial" w:eastAsia="Arial" w:hAnsi="Arial"/>
                  <w:sz w:val="16"/>
                  <w:szCs w:val="16"/>
                  <w:color w:val="0000EE"/>
                </w:rPr>
                <w:t>Amendment No. 3 to 2018 Stock Option and Grant Plan (incorporated by reference to Exhibit 10.5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91">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10.6</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92">
              <w:r>
                <w:rPr>
                  <w:rFonts w:ascii="Arial" w:cs="Arial" w:eastAsia="Arial" w:hAnsi="Arial"/>
                  <w:sz w:val="16"/>
                  <w:szCs w:val="16"/>
                  <w:color w:val="0000EE"/>
                </w:rPr>
                <w:t>Amendment No. 4 to 2018 Stock Option and Grant Plan (incorporated by reference to Exhibit 10.6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92">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10.7</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93">
              <w:r>
                <w:rPr>
                  <w:rFonts w:ascii="Arial" w:cs="Arial" w:eastAsia="Arial" w:hAnsi="Arial"/>
                  <w:sz w:val="16"/>
                  <w:szCs w:val="16"/>
                  <w:color w:val="0000EE"/>
                </w:rPr>
                <w:t>Amendment No. 5 to 2018 Stock Option and Grant Plan (incorporated by reference to Exhibit 10.7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293">
              <w:r>
                <w:rPr>
                  <w:rFonts w:ascii="Arial" w:cs="Arial" w:eastAsia="Arial" w:hAnsi="Arial"/>
                  <w:sz w:val="16"/>
                  <w:szCs w:val="16"/>
                  <w:color w:val="0000EE"/>
                </w:rPr>
                <w:t>Company’s Registration Statement on Form S-1 (File No. 333-256648), dated May 28, 2021)</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10.8</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2"/>
          </w:tcPr>
          <w:p>
            <w:pPr>
              <w:spacing w:after="0"/>
              <w:rPr>
                <w:rFonts w:ascii="Arial" w:cs="Arial" w:eastAsia="Arial" w:hAnsi="Arial"/>
                <w:sz w:val="16"/>
                <w:szCs w:val="16"/>
                <w:color w:val="0000EE"/>
              </w:rPr>
            </w:pPr>
            <w:hyperlink r:id="rId294">
              <w:r>
                <w:rPr>
                  <w:rFonts w:ascii="Arial" w:cs="Arial" w:eastAsia="Arial" w:hAnsi="Arial"/>
                  <w:sz w:val="16"/>
                  <w:szCs w:val="16"/>
                  <w:color w:val="0000EE"/>
                </w:rPr>
                <w:t>2021 Equity Incentive Plan (incorporated by reference to Exhibit 10.8 to the Company’s Registration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4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294">
              <w:r>
                <w:rPr>
                  <w:rFonts w:ascii="Arial" w:cs="Arial" w:eastAsia="Arial" w:hAnsi="Arial"/>
                  <w:sz w:val="16"/>
                  <w:szCs w:val="16"/>
                  <w:color w:val="0000EE"/>
                </w:rPr>
                <w:t>Statement on Form S-1/A (File No. 333-256648), dated June 14, 2021)</w:t>
              </w:r>
            </w:hyperlink>
          </w:p>
        </w:tc>
        <w:tc>
          <w:tcPr>
            <w:tcW w:w="4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Borders>
              <w:top w:val="single" w:sz="8" w:color="0000EE"/>
            </w:tcBorders>
            <w:gridSpan w:val="3"/>
          </w:tcPr>
          <w:p>
            <w:pPr>
              <w:ind w:left="296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jc w:val="center"/>
              <w:ind w:right="199"/>
              <w:spacing w:after="0"/>
              <w:rPr>
                <w:sz w:val="20"/>
                <w:szCs w:val="20"/>
                <w:color w:val="auto"/>
              </w:rPr>
            </w:pPr>
            <w:r>
              <w:rPr>
                <w:rFonts w:ascii="Arial" w:cs="Arial" w:eastAsia="Arial" w:hAnsi="Arial"/>
                <w:sz w:val="16"/>
                <w:szCs w:val="16"/>
                <w:color w:val="auto"/>
                <w:w w:val="97"/>
              </w:rPr>
              <w:t>10.9</w:t>
            </w:r>
            <w:r>
              <w:rPr>
                <w:rFonts w:ascii="Times New Roman" w:cs="Times New Roman" w:eastAsia="Times New Roman" w:hAnsi="Times New Roman"/>
                <w:sz w:val="17"/>
                <w:szCs w:val="17"/>
                <w:color w:val="231F20"/>
                <w:w w:val="97"/>
              </w:rPr>
              <w:t>·</w:t>
            </w:r>
          </w:p>
        </w:tc>
        <w:tc>
          <w:tcPr>
            <w:tcW w:w="7640" w:type="dxa"/>
            <w:vAlign w:val="bottom"/>
            <w:gridSpan w:val="37"/>
          </w:tcPr>
          <w:p>
            <w:pPr>
              <w:spacing w:after="0"/>
              <w:rPr>
                <w:rFonts w:ascii="Arial" w:cs="Arial" w:eastAsia="Arial" w:hAnsi="Arial"/>
                <w:sz w:val="16"/>
                <w:szCs w:val="16"/>
                <w:color w:val="0000EE"/>
              </w:rPr>
            </w:pPr>
            <w:hyperlink r:id="rId295">
              <w:r>
                <w:rPr>
                  <w:rFonts w:ascii="Arial" w:cs="Arial" w:eastAsia="Arial" w:hAnsi="Arial"/>
                  <w:sz w:val="16"/>
                  <w:szCs w:val="16"/>
                  <w:color w:val="0000EE"/>
                </w:rPr>
                <w:t>2021 Employee Stock Purchase Plan (incorporated by reference to Exhibit 10.9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00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295">
              <w:r>
                <w:rPr>
                  <w:rFonts w:ascii="Arial" w:cs="Arial" w:eastAsia="Arial" w:hAnsi="Arial"/>
                  <w:sz w:val="16"/>
                  <w:szCs w:val="16"/>
                  <w:color w:val="0000EE"/>
                </w:rPr>
                <w:t>Registration Statement on Form S-1/A (File No. 333-256648), dated June 14,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10.10</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vMerge w:val="continue"/>
          </w:tcPr>
          <w:p>
            <w:pPr>
              <w:spacing w:after="0"/>
              <w:rPr>
                <w:sz w:val="20"/>
                <w:szCs w:val="20"/>
                <w:color w:val="auto"/>
              </w:rPr>
            </w:pPr>
          </w:p>
        </w:tc>
        <w:tc>
          <w:tcPr>
            <w:tcW w:w="7640" w:type="dxa"/>
            <w:vAlign w:val="bottom"/>
            <w:gridSpan w:val="37"/>
          </w:tcPr>
          <w:p>
            <w:pPr>
              <w:spacing w:after="0"/>
              <w:rPr>
                <w:rFonts w:ascii="Arial" w:cs="Arial" w:eastAsia="Arial" w:hAnsi="Arial"/>
                <w:sz w:val="16"/>
                <w:szCs w:val="16"/>
                <w:color w:val="0000EE"/>
              </w:rPr>
            </w:pPr>
            <w:hyperlink r:id="rId296">
              <w:r>
                <w:rPr>
                  <w:rFonts w:ascii="Arial" w:cs="Arial" w:eastAsia="Arial" w:hAnsi="Arial"/>
                  <w:sz w:val="16"/>
                  <w:szCs w:val="16"/>
                  <w:color w:val="0000EE"/>
                </w:rPr>
                <w:t>Form of Restricted Stock Award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8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296">
              <w:r>
                <w:rPr>
                  <w:rFonts w:ascii="Arial" w:cs="Arial" w:eastAsia="Arial" w:hAnsi="Arial"/>
                  <w:sz w:val="16"/>
                  <w:szCs w:val="16"/>
                  <w:color w:val="0000EE"/>
                </w:rPr>
                <w:t>by reference to Exhibit 10.10 to the Company’s Registration Statement on Form S-1 (File No. 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96">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99"/>
              <w:spacing w:after="0"/>
              <w:rPr>
                <w:sz w:val="20"/>
                <w:szCs w:val="20"/>
                <w:color w:val="auto"/>
              </w:rPr>
            </w:pPr>
            <w:r>
              <w:rPr>
                <w:rFonts w:ascii="Arial" w:cs="Arial" w:eastAsia="Arial" w:hAnsi="Arial"/>
                <w:sz w:val="16"/>
                <w:szCs w:val="16"/>
                <w:color w:val="auto"/>
                <w:w w:val="96"/>
              </w:rPr>
              <w:t>10.11</w:t>
            </w:r>
            <w:r>
              <w:rPr>
                <w:rFonts w:ascii="Times New Roman" w:cs="Times New Roman" w:eastAsia="Times New Roman" w:hAnsi="Times New Roman"/>
                <w:sz w:val="17"/>
                <w:szCs w:val="17"/>
                <w:color w:val="231F20"/>
                <w:w w:val="96"/>
              </w:rPr>
              <w:t>·</w:t>
            </w:r>
          </w:p>
        </w:tc>
        <w:tc>
          <w:tcPr>
            <w:tcW w:w="7640" w:type="dxa"/>
            <w:vAlign w:val="bottom"/>
            <w:gridSpan w:val="37"/>
          </w:tcPr>
          <w:p>
            <w:pPr>
              <w:spacing w:after="0"/>
              <w:rPr>
                <w:rFonts w:ascii="Arial" w:cs="Arial" w:eastAsia="Arial" w:hAnsi="Arial"/>
                <w:sz w:val="16"/>
                <w:szCs w:val="16"/>
                <w:color w:val="0000EE"/>
              </w:rPr>
            </w:pPr>
            <w:hyperlink r:id="rId297">
              <w:r>
                <w:rPr>
                  <w:rFonts w:ascii="Arial" w:cs="Arial" w:eastAsia="Arial" w:hAnsi="Arial"/>
                  <w:sz w:val="16"/>
                  <w:szCs w:val="16"/>
                  <w:color w:val="0000EE"/>
                </w:rPr>
                <w:t>Form of Non-Qualified Stock Option Agreement, under the 2018 Stock Option and Grant Plan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70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297">
              <w:r>
                <w:rPr>
                  <w:rFonts w:ascii="Arial" w:cs="Arial" w:eastAsia="Arial" w:hAnsi="Arial"/>
                  <w:sz w:val="16"/>
                  <w:szCs w:val="16"/>
                  <w:color w:val="0000EE"/>
                </w:rPr>
                <w:t>(incorporated by reference to Exhibit 10.11 to the Company’s Registration Statement on Form</w:t>
              </w:r>
            </w:hyperlink>
          </w:p>
        </w:tc>
        <w:tc>
          <w:tcPr>
            <w:tcW w:w="940" w:type="dxa"/>
            <w:vAlign w:val="bottom"/>
            <w:gridSpan w:val="29"/>
          </w:tcPr>
          <w:p>
            <w:pPr>
              <w:ind w:left="40"/>
              <w:spacing w:after="0" w:line="169" w:lineRule="exact"/>
              <w:rPr>
                <w:rFonts w:ascii="Arial" w:cs="Arial" w:eastAsia="Arial" w:hAnsi="Arial"/>
                <w:sz w:val="16"/>
                <w:szCs w:val="16"/>
                <w:color w:val="0000EE"/>
              </w:rPr>
            </w:pPr>
            <w:hyperlink r:id="rId297">
              <w:r>
                <w:rPr>
                  <w:rFonts w:ascii="Arial" w:cs="Arial" w:eastAsia="Arial" w:hAnsi="Arial"/>
                  <w:sz w:val="16"/>
                  <w:szCs w:val="16"/>
                  <w:color w:val="0000EE"/>
                </w:rPr>
                <w:t>S-1 (File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97">
              <w:r>
                <w:rPr>
                  <w:rFonts w:ascii="Arial" w:cs="Arial" w:eastAsia="Arial" w:hAnsi="Arial"/>
                  <w:sz w:val="16"/>
                  <w:szCs w:val="16"/>
                  <w:color w:val="0000EE"/>
                </w:rPr>
                <w:t>No. 333-256648), dated May 28, 2021)</w:t>
              </w:r>
            </w:hyperlink>
          </w:p>
        </w:tc>
        <w:tc>
          <w:tcPr>
            <w:tcW w:w="4560" w:type="dxa"/>
            <w:vAlign w:val="bottom"/>
            <w:tcBorders>
              <w:top w:val="single" w:sz="8" w:color="0000EE"/>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10.12</w:t>
            </w:r>
            <w:r>
              <w:rPr>
                <w:rFonts w:ascii="Times New Roman" w:cs="Times New Roman" w:eastAsia="Times New Roman" w:hAnsi="Times New Roman"/>
                <w:sz w:val="17"/>
                <w:szCs w:val="17"/>
                <w:color w:val="231F20"/>
              </w:rPr>
              <w:t>·</w:t>
            </w:r>
          </w:p>
        </w:tc>
        <w:tc>
          <w:tcPr>
            <w:tcW w:w="7640" w:type="dxa"/>
            <w:vAlign w:val="bottom"/>
            <w:gridSpan w:val="37"/>
          </w:tcPr>
          <w:p>
            <w:pPr>
              <w:spacing w:after="0"/>
              <w:rPr>
                <w:rFonts w:ascii="Arial" w:cs="Arial" w:eastAsia="Arial" w:hAnsi="Arial"/>
                <w:sz w:val="16"/>
                <w:szCs w:val="16"/>
                <w:color w:val="0000EE"/>
              </w:rPr>
            </w:pPr>
            <w:hyperlink r:id="rId298">
              <w:r>
                <w:rPr>
                  <w:rFonts w:ascii="Arial" w:cs="Arial" w:eastAsia="Arial" w:hAnsi="Arial"/>
                  <w:sz w:val="16"/>
                  <w:szCs w:val="16"/>
                  <w:color w:val="0000EE"/>
                </w:rPr>
                <w:t>Form of Incentive Stock Option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4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298">
              <w:r>
                <w:rPr>
                  <w:rFonts w:ascii="Arial" w:cs="Arial" w:eastAsia="Arial" w:hAnsi="Arial"/>
                  <w:sz w:val="16"/>
                  <w:szCs w:val="16"/>
                  <w:color w:val="0000EE"/>
                </w:rPr>
                <w:t>by reference to Exhibit 10.12 to the Company’s Registration Statement on Form S-1 (File No. 333-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98">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10.13</w:t>
            </w:r>
            <w:r>
              <w:rPr>
                <w:rFonts w:ascii="Times New Roman" w:cs="Times New Roman" w:eastAsia="Times New Roman" w:hAnsi="Times New Roman"/>
                <w:sz w:val="17"/>
                <w:szCs w:val="17"/>
                <w:color w:val="231F20"/>
              </w:rPr>
              <w:t>·</w:t>
            </w:r>
          </w:p>
        </w:tc>
        <w:tc>
          <w:tcPr>
            <w:tcW w:w="7640" w:type="dxa"/>
            <w:vAlign w:val="bottom"/>
            <w:gridSpan w:val="37"/>
          </w:tcPr>
          <w:p>
            <w:pPr>
              <w:spacing w:after="0"/>
              <w:rPr>
                <w:rFonts w:ascii="Arial" w:cs="Arial" w:eastAsia="Arial" w:hAnsi="Arial"/>
                <w:sz w:val="16"/>
                <w:szCs w:val="16"/>
                <w:color w:val="0000EE"/>
              </w:rPr>
            </w:pPr>
            <w:hyperlink r:id="rId299">
              <w:r>
                <w:rPr>
                  <w:rFonts w:ascii="Arial" w:cs="Arial" w:eastAsia="Arial" w:hAnsi="Arial"/>
                  <w:sz w:val="16"/>
                  <w:szCs w:val="16"/>
                  <w:color w:val="0000EE"/>
                </w:rPr>
                <w:t>Form of Stock Option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299">
              <w:r>
                <w:rPr>
                  <w:rFonts w:ascii="Arial" w:cs="Arial" w:eastAsia="Arial" w:hAnsi="Arial"/>
                  <w:sz w:val="16"/>
                  <w:szCs w:val="16"/>
                  <w:color w:val="0000EE"/>
                </w:rPr>
                <w:t>reference to Exhibit 10.13 to the Company’s Registration Statement on Form S-1 (File No. 333-</w:t>
              </w:r>
            </w:hyperlink>
          </w:p>
        </w:tc>
        <w:tc>
          <w:tcPr>
            <w:tcW w:w="640" w:type="dxa"/>
            <w:vAlign w:val="bottom"/>
            <w:tcBorders>
              <w:bottom w:val="single" w:sz="8" w:color="0000EE"/>
            </w:tcBorders>
            <w:gridSpan w:val="23"/>
          </w:tcPr>
          <w:p>
            <w:pPr>
              <w:jc w:val="right"/>
              <w:ind w:right="80"/>
              <w:spacing w:after="0" w:line="169" w:lineRule="exact"/>
              <w:rPr>
                <w:rFonts w:ascii="Arial" w:cs="Arial" w:eastAsia="Arial" w:hAnsi="Arial"/>
                <w:sz w:val="16"/>
                <w:szCs w:val="16"/>
                <w:color w:val="0000EE"/>
                <w:w w:val="85"/>
              </w:rPr>
            </w:pPr>
            <w:hyperlink r:id="rId299">
              <w:r>
                <w:rPr>
                  <w:rFonts w:ascii="Arial" w:cs="Arial" w:eastAsia="Arial" w:hAnsi="Arial"/>
                  <w:sz w:val="16"/>
                  <w:szCs w:val="16"/>
                  <w:color w:val="0000EE"/>
                  <w:w w:val="85"/>
                </w:rPr>
                <w:t>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gridSpan w:val="32"/>
          </w:tcPr>
          <w:p>
            <w:pPr>
              <w:spacing w:after="0" w:line="169" w:lineRule="exact"/>
              <w:rPr>
                <w:rFonts w:ascii="Arial" w:cs="Arial" w:eastAsia="Arial" w:hAnsi="Arial"/>
                <w:sz w:val="16"/>
                <w:szCs w:val="16"/>
                <w:color w:val="0000EE"/>
              </w:rPr>
            </w:pPr>
            <w:hyperlink r:id="rId299">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10.14</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37"/>
          </w:tcPr>
          <w:p>
            <w:pPr>
              <w:spacing w:after="0"/>
              <w:rPr>
                <w:rFonts w:ascii="Arial" w:cs="Arial" w:eastAsia="Arial" w:hAnsi="Arial"/>
                <w:sz w:val="16"/>
                <w:szCs w:val="16"/>
                <w:color w:val="0000EE"/>
              </w:rPr>
            </w:pPr>
            <w:hyperlink r:id="rId300">
              <w:r>
                <w:rPr>
                  <w:rFonts w:ascii="Arial" w:cs="Arial" w:eastAsia="Arial" w:hAnsi="Arial"/>
                  <w:sz w:val="16"/>
                  <w:szCs w:val="16"/>
                  <w:color w:val="0000EE"/>
                </w:rPr>
                <w:t>Form of Restricted Stock Unit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r:id="rId300">
              <w:r>
                <w:rPr>
                  <w:rFonts w:ascii="Arial" w:cs="Arial" w:eastAsia="Arial" w:hAnsi="Arial"/>
                  <w:sz w:val="16"/>
                  <w:szCs w:val="16"/>
                  <w:color w:val="0000EE"/>
                </w:rPr>
                <w:t>reference to Exhibit 10.14 to the Company’s Registration Statement on Form S-1 (File No. 333-256648),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300">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10.15</w:t>
            </w:r>
            <w:r>
              <w:rPr>
                <w:rFonts w:ascii="Arial" w:cs="Arial" w:eastAsia="Arial" w:hAnsi="Arial"/>
                <w:sz w:val="16"/>
                <w:szCs w:val="16"/>
                <w:color w:val="231F20"/>
                <w:w w:val="99"/>
              </w:rPr>
              <w:t>*</w:t>
            </w:r>
          </w:p>
        </w:tc>
        <w:tc>
          <w:tcPr>
            <w:tcW w:w="7640" w:type="dxa"/>
            <w:vAlign w:val="bottom"/>
            <w:gridSpan w:val="37"/>
          </w:tcPr>
          <w:p>
            <w:pPr>
              <w:spacing w:after="0"/>
              <w:rPr>
                <w:rFonts w:ascii="Arial" w:cs="Arial" w:eastAsia="Arial" w:hAnsi="Arial"/>
                <w:sz w:val="16"/>
                <w:szCs w:val="16"/>
                <w:color w:val="0000EE"/>
              </w:rPr>
            </w:pPr>
            <w:hyperlink r:id="rId301">
              <w:r>
                <w:rPr>
                  <w:rFonts w:ascii="Arial" w:cs="Arial" w:eastAsia="Arial" w:hAnsi="Arial"/>
                  <w:sz w:val="16"/>
                  <w:szCs w:val="16"/>
                  <w:color w:val="0000EE"/>
                </w:rPr>
                <w:t>Amended and Restated Option Agreement, by and between Century Therapeutics, Inc. and Bayer</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0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7"/>
          </w:tcPr>
          <w:p>
            <w:pPr>
              <w:spacing w:after="0" w:line="169" w:lineRule="exact"/>
              <w:rPr>
                <w:rFonts w:ascii="Arial" w:cs="Arial" w:eastAsia="Arial" w:hAnsi="Arial"/>
                <w:sz w:val="16"/>
                <w:szCs w:val="16"/>
                <w:color w:val="0000EE"/>
              </w:rPr>
            </w:pPr>
            <w:hyperlink r:id="rId301">
              <w:r>
                <w:rPr>
                  <w:rFonts w:ascii="Arial" w:cs="Arial" w:eastAsia="Arial" w:hAnsi="Arial"/>
                  <w:sz w:val="16"/>
                  <w:szCs w:val="16"/>
                  <w:color w:val="0000EE"/>
                </w:rPr>
                <w:t>HealthCare LLC, dated February 25, 2021 (incorporated by reference to Exhibit 10.15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301">
              <w:r>
                <w:rPr>
                  <w:rFonts w:ascii="Arial" w:cs="Arial" w:eastAsia="Arial" w:hAnsi="Arial"/>
                  <w:sz w:val="16"/>
                  <w:szCs w:val="16"/>
                  <w:color w:val="0000EE"/>
                </w:rPr>
                <w:t>Registration Statement on Form S-1 (File No. 333-256648), dated May 28, 2021)</w:t>
              </w:r>
            </w:hyperlink>
          </w:p>
        </w:tc>
        <w:tc>
          <w:tcPr>
            <w:tcW w:w="1720" w:type="dxa"/>
            <w:vAlign w:val="bottom"/>
            <w:tcBorders>
              <w:top w:val="single" w:sz="8" w:color="0000EE"/>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10.16*</w:t>
            </w:r>
          </w:p>
        </w:tc>
        <w:tc>
          <w:tcPr>
            <w:tcW w:w="7640" w:type="dxa"/>
            <w:vAlign w:val="bottom"/>
            <w:gridSpan w:val="37"/>
          </w:tcPr>
          <w:p>
            <w:pPr>
              <w:spacing w:after="0"/>
              <w:rPr>
                <w:rFonts w:ascii="Arial" w:cs="Arial" w:eastAsia="Arial" w:hAnsi="Arial"/>
                <w:sz w:val="16"/>
                <w:szCs w:val="16"/>
                <w:color w:val="0000EE"/>
              </w:rPr>
            </w:pPr>
            <w:hyperlink r:id="rId302">
              <w:r>
                <w:rPr>
                  <w:rFonts w:ascii="Arial" w:cs="Arial" w:eastAsia="Arial" w:hAnsi="Arial"/>
                  <w:sz w:val="16"/>
                  <w:szCs w:val="16"/>
                  <w:color w:val="0000EE"/>
                </w:rPr>
                <w:t>Master Collaboration Agreement,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17"/>
          </w:tcPr>
          <w:p>
            <w:pPr>
              <w:spacing w:after="0" w:line="169" w:lineRule="exact"/>
              <w:rPr>
                <w:rFonts w:ascii="Arial" w:cs="Arial" w:eastAsia="Arial" w:hAnsi="Arial"/>
                <w:sz w:val="16"/>
                <w:szCs w:val="16"/>
                <w:color w:val="0000EE"/>
                <w:w w:val="99"/>
              </w:rPr>
            </w:pPr>
            <w:hyperlink r:id="rId302">
              <w:r>
                <w:rPr>
                  <w:rFonts w:ascii="Arial" w:cs="Arial" w:eastAsia="Arial" w:hAnsi="Arial"/>
                  <w:sz w:val="16"/>
                  <w:szCs w:val="16"/>
                  <w:color w:val="0000EE"/>
                  <w:w w:val="99"/>
                </w:rPr>
                <w:t>Dynamics, Inc., dated October 21, 2019 (incorporated by reference to Exhibit 10.16 to the Company’s</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302">
              <w:r>
                <w:rPr>
                  <w:rFonts w:ascii="Arial" w:cs="Arial" w:eastAsia="Arial" w:hAnsi="Arial"/>
                  <w:sz w:val="16"/>
                  <w:szCs w:val="16"/>
                  <w:color w:val="0000EE"/>
                </w:rPr>
                <w:t>Registration Statement on Form S-1 (File No. 333-256648), dated May 28, 2021)</w:t>
              </w:r>
            </w:hyperlink>
          </w:p>
        </w:tc>
        <w:tc>
          <w:tcPr>
            <w:tcW w:w="1480" w:type="dxa"/>
            <w:vAlign w:val="bottom"/>
            <w:gridSpan w:val="16"/>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10.17</w:t>
            </w:r>
          </w:p>
        </w:tc>
        <w:tc>
          <w:tcPr>
            <w:tcW w:w="7380" w:type="dxa"/>
            <w:vAlign w:val="bottom"/>
            <w:tcBorders>
              <w:bottom w:val="single" w:sz="8" w:color="0000EE"/>
            </w:tcBorders>
            <w:gridSpan w:val="24"/>
          </w:tcPr>
          <w:p>
            <w:pPr>
              <w:spacing w:after="0"/>
              <w:rPr>
                <w:rFonts w:ascii="Arial" w:cs="Arial" w:eastAsia="Arial" w:hAnsi="Arial"/>
                <w:sz w:val="16"/>
                <w:szCs w:val="16"/>
                <w:color w:val="0000EE"/>
              </w:rPr>
            </w:pPr>
            <w:hyperlink r:id="rId303">
              <w:r>
                <w:rPr>
                  <w:rFonts w:ascii="Arial" w:cs="Arial" w:eastAsia="Arial" w:hAnsi="Arial"/>
                  <w:sz w:val="16"/>
                  <w:szCs w:val="16"/>
                  <w:color w:val="0000EE"/>
                </w:rPr>
                <w:t>Amendment No. 1 to Master Collaboration Agreement, by and between Century Therapeutics, Inc. and</w:t>
              </w:r>
            </w:hyperlink>
          </w:p>
        </w:tc>
        <w:tc>
          <w:tcPr>
            <w:tcW w:w="2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7"/>
          </w:tcPr>
          <w:p>
            <w:pPr>
              <w:spacing w:after="0" w:line="169" w:lineRule="exact"/>
              <w:rPr>
                <w:rFonts w:ascii="Arial" w:cs="Arial" w:eastAsia="Arial" w:hAnsi="Arial"/>
                <w:sz w:val="16"/>
                <w:szCs w:val="16"/>
                <w:color w:val="0000EE"/>
              </w:rPr>
            </w:pPr>
            <w:hyperlink r:id="rId303">
              <w:r>
                <w:rPr>
                  <w:rFonts w:ascii="Arial" w:cs="Arial" w:eastAsia="Arial" w:hAnsi="Arial"/>
                  <w:sz w:val="16"/>
                  <w:szCs w:val="16"/>
                  <w:color w:val="0000EE"/>
                </w:rPr>
                <w:t>FUJIFILM Cellular Dynamics, Inc., dated July 17, 2020 (incorporated by reference to Exhibit 10.17 to 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6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303">
              <w:r>
                <w:rPr>
                  <w:rFonts w:ascii="Arial" w:cs="Arial" w:eastAsia="Arial" w:hAnsi="Arial"/>
                  <w:sz w:val="16"/>
                  <w:szCs w:val="16"/>
                  <w:color w:val="0000EE"/>
                </w:rPr>
                <w:t>Company’s Registration Statement on Form S-1 (File No. 333-256648), dated May 28,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10.18*</w:t>
            </w:r>
          </w:p>
        </w:tc>
        <w:tc>
          <w:tcPr>
            <w:tcW w:w="7320" w:type="dxa"/>
            <w:vAlign w:val="bottom"/>
            <w:tcBorders>
              <w:bottom w:val="single" w:sz="8" w:color="0000EE"/>
            </w:tcBorders>
            <w:gridSpan w:val="21"/>
          </w:tcPr>
          <w:p>
            <w:pPr>
              <w:spacing w:after="0"/>
              <w:rPr>
                <w:rFonts w:ascii="Arial" w:cs="Arial" w:eastAsia="Arial" w:hAnsi="Arial"/>
                <w:sz w:val="16"/>
                <w:szCs w:val="16"/>
                <w:color w:val="0000EE"/>
              </w:rPr>
            </w:pPr>
            <w:hyperlink r:id="rId304">
              <w:r>
                <w:rPr>
                  <w:rFonts w:ascii="Arial" w:cs="Arial" w:eastAsia="Arial" w:hAnsi="Arial"/>
                  <w:sz w:val="16"/>
                  <w:szCs w:val="16"/>
                  <w:color w:val="0000EE"/>
                </w:rPr>
                <w:t>Amendment No. 2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7"/>
          </w:tcPr>
          <w:p>
            <w:pPr>
              <w:spacing w:after="0" w:line="169" w:lineRule="exact"/>
              <w:rPr>
                <w:rFonts w:ascii="Arial" w:cs="Arial" w:eastAsia="Arial" w:hAnsi="Arial"/>
                <w:sz w:val="16"/>
                <w:szCs w:val="16"/>
                <w:color w:val="0000EE"/>
              </w:rPr>
            </w:pPr>
            <w:hyperlink r:id="rId304">
              <w:r>
                <w:rPr>
                  <w:rFonts w:ascii="Arial" w:cs="Arial" w:eastAsia="Arial" w:hAnsi="Arial"/>
                  <w:sz w:val="16"/>
                  <w:szCs w:val="16"/>
                  <w:color w:val="0000EE"/>
                </w:rPr>
                <w:t>FUJIFILM Cellular Dynamics, Inc., dated March 23, 2021 (incorporated by reference to Exhibit 10.18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304">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10.19</w:t>
            </w:r>
          </w:p>
        </w:tc>
        <w:tc>
          <w:tcPr>
            <w:tcW w:w="7320" w:type="dxa"/>
            <w:vAlign w:val="bottom"/>
            <w:tcBorders>
              <w:bottom w:val="single" w:sz="8" w:color="0000EE"/>
            </w:tcBorders>
            <w:gridSpan w:val="21"/>
          </w:tcPr>
          <w:p>
            <w:pPr>
              <w:spacing w:after="0"/>
              <w:rPr>
                <w:rFonts w:ascii="Arial" w:cs="Arial" w:eastAsia="Arial" w:hAnsi="Arial"/>
                <w:sz w:val="16"/>
                <w:szCs w:val="16"/>
                <w:color w:val="0000EE"/>
              </w:rPr>
            </w:pPr>
            <w:hyperlink r:id="rId305">
              <w:r>
                <w:rPr>
                  <w:rFonts w:ascii="Arial" w:cs="Arial" w:eastAsia="Arial" w:hAnsi="Arial"/>
                  <w:sz w:val="16"/>
                  <w:szCs w:val="16"/>
                  <w:color w:val="0000EE"/>
                </w:rPr>
                <w:t>Amendment No. 3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7"/>
          </w:tcPr>
          <w:p>
            <w:pPr>
              <w:spacing w:after="0" w:line="169" w:lineRule="exact"/>
              <w:rPr>
                <w:rFonts w:ascii="Arial" w:cs="Arial" w:eastAsia="Arial" w:hAnsi="Arial"/>
                <w:sz w:val="16"/>
                <w:szCs w:val="16"/>
                <w:color w:val="0000EE"/>
              </w:rPr>
            </w:pPr>
            <w:hyperlink r:id="rId305">
              <w:r>
                <w:rPr>
                  <w:rFonts w:ascii="Arial" w:cs="Arial" w:eastAsia="Arial" w:hAnsi="Arial"/>
                  <w:sz w:val="16"/>
                  <w:szCs w:val="16"/>
                  <w:color w:val="0000EE"/>
                </w:rPr>
                <w:t>FUJIFILM Cellular Dynamics, Inc., dated March 29, 2021 (incorporated by reference to Exhibit 10.19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305">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10.20*</w:t>
            </w:r>
          </w:p>
        </w:tc>
        <w:tc>
          <w:tcPr>
            <w:tcW w:w="7640" w:type="dxa"/>
            <w:vAlign w:val="bottom"/>
            <w:gridSpan w:val="37"/>
          </w:tcPr>
          <w:p>
            <w:pPr>
              <w:spacing w:after="0"/>
              <w:rPr>
                <w:rFonts w:ascii="Arial" w:cs="Arial" w:eastAsia="Arial" w:hAnsi="Arial"/>
                <w:sz w:val="16"/>
                <w:szCs w:val="16"/>
                <w:color w:val="0000EE"/>
              </w:rPr>
            </w:pPr>
            <w:hyperlink r:id="rId306">
              <w:r>
                <w:rPr>
                  <w:rFonts w:ascii="Arial" w:cs="Arial" w:eastAsia="Arial" w:hAnsi="Arial"/>
                  <w:sz w:val="16"/>
                  <w:szCs w:val="16"/>
                  <w:color w:val="0000EE"/>
                </w:rPr>
                <w:t>Amendment No. 4 to Master Collaboration Agreement, by and between Century Therapeutics, Inc.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8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0000EE"/>
              </w:rPr>
            </w:pPr>
            <w:hyperlink r:id="rId306">
              <w:r>
                <w:rPr>
                  <w:rFonts w:ascii="Arial" w:cs="Arial" w:eastAsia="Arial" w:hAnsi="Arial"/>
                  <w:sz w:val="16"/>
                  <w:szCs w:val="16"/>
                  <w:color w:val="0000EE"/>
                </w:rPr>
                <w:t>FUJIFILM Cellular Dynamics, Inc., dated July 29, 2022 (incorporated by reference to Exhibit 10.1 to the</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66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306">
              <w:r>
                <w:rPr>
                  <w:rFonts w:ascii="Arial" w:cs="Arial" w:eastAsia="Arial" w:hAnsi="Arial"/>
                  <w:sz w:val="16"/>
                  <w:szCs w:val="16"/>
                  <w:color w:val="0000EE"/>
                </w:rPr>
                <w:t>Company’s Quarterly Report on Form 10-Q (File No. 001-40498), dated November 10, 2022)</w:t>
              </w:r>
            </w:hyperlink>
          </w:p>
        </w:tc>
        <w:tc>
          <w:tcPr>
            <w:tcW w:w="76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10.21</w:t>
            </w:r>
          </w:p>
        </w:tc>
        <w:tc>
          <w:tcPr>
            <w:tcW w:w="7140" w:type="dxa"/>
            <w:vAlign w:val="bottom"/>
            <w:tcBorders>
              <w:bottom w:val="single" w:sz="8" w:color="0000EE"/>
            </w:tcBorders>
            <w:gridSpan w:val="16"/>
          </w:tcPr>
          <w:p>
            <w:pPr>
              <w:spacing w:after="0"/>
              <w:rPr>
                <w:rFonts w:ascii="Arial" w:cs="Arial" w:eastAsia="Arial" w:hAnsi="Arial"/>
                <w:sz w:val="16"/>
                <w:szCs w:val="16"/>
                <w:color w:val="0000EE"/>
              </w:rPr>
            </w:pPr>
            <w:hyperlink r:id="rId307">
              <w:r>
                <w:rPr>
                  <w:rFonts w:ascii="Arial" w:cs="Arial" w:eastAsia="Arial" w:hAnsi="Arial"/>
                  <w:sz w:val="16"/>
                  <w:szCs w:val="16"/>
                  <w:color w:val="0000EE"/>
                </w:rPr>
                <w:t>Letter Agreement, by and among Century Therapeutics, Inc., FUJIFILM Cellular Dynamics, Inc. and</w:t>
              </w:r>
            </w:hyperlink>
          </w:p>
        </w:tc>
        <w:tc>
          <w:tcPr>
            <w:tcW w:w="50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7"/>
          </w:tcPr>
          <w:p>
            <w:pPr>
              <w:spacing w:after="0" w:line="169" w:lineRule="exact"/>
              <w:rPr>
                <w:rFonts w:ascii="Arial" w:cs="Arial" w:eastAsia="Arial" w:hAnsi="Arial"/>
                <w:sz w:val="16"/>
                <w:szCs w:val="16"/>
                <w:color w:val="0000EE"/>
              </w:rPr>
            </w:pPr>
            <w:hyperlink r:id="rId307">
              <w:r>
                <w:rPr>
                  <w:rFonts w:ascii="Arial" w:cs="Arial" w:eastAsia="Arial" w:hAnsi="Arial"/>
                  <w:sz w:val="16"/>
                  <w:szCs w:val="16"/>
                  <w:color w:val="0000EE"/>
                </w:rPr>
                <w:t>Wisconsin Alumni Research Foundation, dated July 2, 2019 (incorporated by reference to Exhibit 10.20</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0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rPr>
            </w:pPr>
            <w:hyperlink r:id="rId307">
              <w:r>
                <w:rPr>
                  <w:rFonts w:ascii="Arial" w:cs="Arial" w:eastAsia="Arial" w:hAnsi="Arial"/>
                  <w:sz w:val="16"/>
                  <w:szCs w:val="16"/>
                  <w:color w:val="0000EE"/>
                </w:rPr>
                <w:t>to the Company’s Registration Statement on Form S-1 (File No. 333-256648), dated May 28, 2021)</w:t>
              </w:r>
            </w:hyperlink>
          </w:p>
        </w:tc>
        <w:tc>
          <w:tcPr>
            <w:tcW w:w="360" w:type="dxa"/>
            <w:vAlign w:val="bottom"/>
            <w:tcBorders>
              <w:top w:val="single" w:sz="8" w:color="0000EE"/>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10.22*</w:t>
            </w:r>
          </w:p>
        </w:tc>
        <w:tc>
          <w:tcPr>
            <w:tcW w:w="7640" w:type="dxa"/>
            <w:vAlign w:val="bottom"/>
            <w:gridSpan w:val="37"/>
          </w:tcPr>
          <w:p>
            <w:pPr>
              <w:spacing w:after="0"/>
              <w:rPr>
                <w:rFonts w:ascii="Arial" w:cs="Arial" w:eastAsia="Arial" w:hAnsi="Arial"/>
                <w:sz w:val="16"/>
                <w:szCs w:val="16"/>
                <w:color w:val="0000EE"/>
              </w:rPr>
            </w:pPr>
            <w:hyperlink r:id="rId308">
              <w:r>
                <w:rPr>
                  <w:rFonts w:ascii="Arial" w:cs="Arial" w:eastAsia="Arial" w:hAnsi="Arial"/>
                  <w:sz w:val="16"/>
                  <w:szCs w:val="16"/>
                  <w:color w:val="0000EE"/>
                </w:rPr>
                <w:t>License Agreement (Differentiation),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40" w:type="dxa"/>
            <w:vAlign w:val="bottom"/>
            <w:tcBorders>
              <w:top w:val="single" w:sz="8" w:color="0000EE"/>
              <w:bottom w:val="single" w:sz="8" w:color="0000EE"/>
            </w:tcBorders>
            <w:gridSpan w:val="27"/>
          </w:tcPr>
          <w:p>
            <w:pPr>
              <w:spacing w:after="0" w:line="169" w:lineRule="exact"/>
              <w:rPr>
                <w:rFonts w:ascii="Arial" w:cs="Arial" w:eastAsia="Arial" w:hAnsi="Arial"/>
                <w:sz w:val="16"/>
                <w:szCs w:val="16"/>
                <w:color w:val="0000EE"/>
              </w:rPr>
            </w:pPr>
            <w:hyperlink r:id="rId308">
              <w:r>
                <w:rPr>
                  <w:rFonts w:ascii="Arial" w:cs="Arial" w:eastAsia="Arial" w:hAnsi="Arial"/>
                  <w:sz w:val="16"/>
                  <w:szCs w:val="16"/>
                  <w:color w:val="0000EE"/>
                </w:rPr>
                <w:t>Dynamics, Inc., dated September 18, 2018 (incorporated by reference to Exhibit 10.21 to the Company’s</w:t>
              </w:r>
            </w:hyperlink>
          </w:p>
        </w:tc>
        <w:tc>
          <w:tcPr>
            <w:tcW w:w="60" w:type="dxa"/>
            <w:vAlign w:val="bottom"/>
            <w:tcBorders>
              <w:bottom w:val="single" w:sz="8" w:color="0000EE"/>
            </w:tcBorders>
            <w:gridSpan w:val="3"/>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308">
              <w:r>
                <w:rPr>
                  <w:rFonts w:ascii="Arial" w:cs="Arial" w:eastAsia="Arial" w:hAnsi="Arial"/>
                  <w:sz w:val="16"/>
                  <w:szCs w:val="16"/>
                  <w:color w:val="0000EE"/>
                </w:rPr>
                <w:t>Registration Statement on Form S-1 (File No. 333-256648), dated May 28, 2021)</w:t>
              </w:r>
            </w:hyperlink>
          </w:p>
        </w:tc>
        <w:tc>
          <w:tcPr>
            <w:tcW w:w="1780" w:type="dxa"/>
            <w:vAlign w:val="bottom"/>
            <w:gridSpan w:val="3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10.23*</w:t>
            </w:r>
          </w:p>
        </w:tc>
        <w:tc>
          <w:tcPr>
            <w:tcW w:w="7260" w:type="dxa"/>
            <w:vAlign w:val="bottom"/>
            <w:tcBorders>
              <w:bottom w:val="single" w:sz="8" w:color="0000EE"/>
            </w:tcBorders>
            <w:gridSpan w:val="19"/>
          </w:tcPr>
          <w:p>
            <w:pPr>
              <w:spacing w:after="0"/>
              <w:rPr>
                <w:rFonts w:ascii="Arial" w:cs="Arial" w:eastAsia="Arial" w:hAnsi="Arial"/>
                <w:sz w:val="16"/>
                <w:szCs w:val="16"/>
                <w:color w:val="0000EE"/>
              </w:rPr>
            </w:pPr>
            <w:hyperlink r:id="rId309">
              <w:r>
                <w:rPr>
                  <w:rFonts w:ascii="Arial" w:cs="Arial" w:eastAsia="Arial" w:hAnsi="Arial"/>
                  <w:sz w:val="16"/>
                  <w:szCs w:val="16"/>
                  <w:color w:val="0000EE"/>
                </w:rPr>
                <w:t>Amendment No. 1 to License Agreement (Differentiation), by and between Century Therapeutics, Inc.</w:t>
              </w:r>
            </w:hyperlink>
          </w:p>
        </w:tc>
        <w:tc>
          <w:tcPr>
            <w:tcW w:w="38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37"/>
          </w:tcPr>
          <w:p>
            <w:pPr>
              <w:spacing w:after="0" w:line="169" w:lineRule="exact"/>
              <w:rPr>
                <w:rFonts w:ascii="Arial" w:cs="Arial" w:eastAsia="Arial" w:hAnsi="Arial"/>
                <w:sz w:val="16"/>
                <w:szCs w:val="16"/>
                <w:color w:val="0000EE"/>
              </w:rPr>
            </w:pPr>
            <w:hyperlink r:id="rId309">
              <w:r>
                <w:rPr>
                  <w:rFonts w:ascii="Arial" w:cs="Arial" w:eastAsia="Arial" w:hAnsi="Arial"/>
                  <w:sz w:val="16"/>
                  <w:szCs w:val="16"/>
                  <w:color w:val="0000EE"/>
                </w:rPr>
                <w:t>and FUJIFILM Cellular Dynamics, Inc., dated March 23, 2021 (incorporated by reference to Exhibit 10.22</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0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rPr>
            </w:pPr>
            <w:hyperlink r:id="rId309">
              <w:r>
                <w:rPr>
                  <w:rFonts w:ascii="Arial" w:cs="Arial" w:eastAsia="Arial" w:hAnsi="Arial"/>
                  <w:sz w:val="16"/>
                  <w:szCs w:val="16"/>
                  <w:color w:val="0000EE"/>
                </w:rPr>
                <w:t>to the Company’s Registration Statement on Form S-1 (File No. 333-256648), dated May 28, 2021)</w:t>
              </w:r>
            </w:hyperlink>
          </w:p>
        </w:tc>
        <w:tc>
          <w:tcPr>
            <w:tcW w:w="52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10.24*</w:t>
            </w:r>
          </w:p>
        </w:tc>
        <w:tc>
          <w:tcPr>
            <w:tcW w:w="7640" w:type="dxa"/>
            <w:vAlign w:val="bottom"/>
            <w:gridSpan w:val="37"/>
          </w:tcPr>
          <w:p>
            <w:pPr>
              <w:spacing w:after="0"/>
              <w:rPr>
                <w:rFonts w:ascii="Arial" w:cs="Arial" w:eastAsia="Arial" w:hAnsi="Arial"/>
                <w:sz w:val="16"/>
                <w:szCs w:val="16"/>
                <w:color w:val="0000EE"/>
              </w:rPr>
            </w:pPr>
            <w:hyperlink r:id="rId310">
              <w:r>
                <w:rPr>
                  <w:rFonts w:ascii="Arial" w:cs="Arial" w:eastAsia="Arial" w:hAnsi="Arial"/>
                  <w:sz w:val="16"/>
                  <w:szCs w:val="16"/>
                  <w:color w:val="0000EE"/>
                </w:rPr>
                <w:t>License Agreement (Reprogramming), by and between Century Therapeutics, Inc. and FUJIFILM</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6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310">
              <w:r>
                <w:rPr>
                  <w:rFonts w:ascii="Arial" w:cs="Arial" w:eastAsia="Arial" w:hAnsi="Arial"/>
                  <w:sz w:val="16"/>
                  <w:szCs w:val="16"/>
                  <w:color w:val="0000EE"/>
                </w:rPr>
                <w:t>Cellular Dynamics, Inc., dated September 18, 2018 (incorporated by reference to Exhibit 10.23 to</w:t>
              </w:r>
            </w:hyperlink>
          </w:p>
        </w:tc>
        <w:tc>
          <w:tcPr>
            <w:tcW w:w="680" w:type="dxa"/>
            <w:vAlign w:val="bottom"/>
            <w:gridSpan w:val="26"/>
          </w:tcPr>
          <w:p>
            <w:pPr>
              <w:ind w:left="40"/>
              <w:spacing w:after="0" w:line="169" w:lineRule="exact"/>
              <w:rPr>
                <w:rFonts w:ascii="Arial" w:cs="Arial" w:eastAsia="Arial" w:hAnsi="Arial"/>
                <w:sz w:val="16"/>
                <w:szCs w:val="16"/>
                <w:color w:val="0000EE"/>
              </w:rPr>
            </w:pPr>
            <w:hyperlink r:id="rId310">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22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310">
              <w:r>
                <w:rPr>
                  <w:rFonts w:ascii="Arial" w:cs="Arial" w:eastAsia="Arial" w:hAnsi="Arial"/>
                  <w:sz w:val="16"/>
                  <w:szCs w:val="16"/>
                  <w:color w:val="0000EE"/>
                </w:rPr>
                <w:t>Company’s Registration Statement on Form S-1 (File No. 333-256648), dated May 28, 2021)</w:t>
              </w:r>
            </w:hyperlink>
          </w:p>
        </w:tc>
        <w:tc>
          <w:tcPr>
            <w:tcW w:w="280" w:type="dxa"/>
            <w:vAlign w:val="bottom"/>
            <w:gridSpan w:val="12"/>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860" w:type="dxa"/>
            <w:vAlign w:val="bottom"/>
            <w:gridSpan w:val="2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10.25*</w:t>
            </w:r>
          </w:p>
        </w:tc>
        <w:tc>
          <w:tcPr>
            <w:tcW w:w="7640" w:type="dxa"/>
            <w:vAlign w:val="bottom"/>
            <w:gridSpan w:val="37"/>
          </w:tcPr>
          <w:p>
            <w:pPr>
              <w:spacing w:after="0"/>
              <w:rPr>
                <w:rFonts w:ascii="Arial" w:cs="Arial" w:eastAsia="Arial" w:hAnsi="Arial"/>
                <w:sz w:val="16"/>
                <w:szCs w:val="16"/>
                <w:color w:val="0000EE"/>
              </w:rPr>
            </w:pPr>
            <w:hyperlink r:id="rId311">
              <w:r>
                <w:rPr>
                  <w:rFonts w:ascii="Arial" w:cs="Arial" w:eastAsia="Arial" w:hAnsi="Arial"/>
                  <w:sz w:val="16"/>
                  <w:szCs w:val="16"/>
                  <w:color w:val="0000EE"/>
                </w:rPr>
                <w:t>Amendment No. 1 to License Agreement (Reprogramming), by and between Century Therapeutics, Inc.</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0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311">
              <w:r>
                <w:rPr>
                  <w:rFonts w:ascii="Arial" w:cs="Arial" w:eastAsia="Arial" w:hAnsi="Arial"/>
                  <w:sz w:val="16"/>
                  <w:szCs w:val="16"/>
                  <w:color w:val="0000EE"/>
                </w:rPr>
                <w:t>and FUJIFILM Cellular Dynamics, Inc., dated March 23, 2021 (incorporated by reference to Exhibit 10.24</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2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311">
              <w:r>
                <w:rPr>
                  <w:rFonts w:ascii="Arial" w:cs="Arial" w:eastAsia="Arial" w:hAnsi="Arial"/>
                  <w:sz w:val="16"/>
                  <w:szCs w:val="16"/>
                  <w:color w:val="0000EE"/>
                </w:rPr>
                <w:t>to the Company’s Registration Statement on Form S-1 (File No. 333-256648), dated May 28,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6"/>
        </w:trPr>
        <w:tc>
          <w:tcPr>
            <w:tcW w:w="1360" w:type="dxa"/>
            <w:vAlign w:val="bottom"/>
          </w:tcPr>
          <w:p>
            <w:pPr>
              <w:spacing w:after="0"/>
              <w:rPr>
                <w:sz w:val="24"/>
                <w:szCs w:val="24"/>
                <w:color w:val="auto"/>
              </w:rPr>
            </w:pPr>
          </w:p>
        </w:tc>
        <w:tc>
          <w:tcPr>
            <w:tcW w:w="5800" w:type="dxa"/>
            <w:vAlign w:val="bottom"/>
            <w:tcBorders>
              <w:top w:val="single" w:sz="8" w:color="0000EE"/>
            </w:tcBorders>
            <w:gridSpan w:val="4"/>
          </w:tcPr>
          <w:p>
            <w:pPr>
              <w:ind w:left="2960"/>
              <w:spacing w:after="0"/>
              <w:rPr>
                <w:sz w:val="20"/>
                <w:szCs w:val="20"/>
                <w:color w:val="auto"/>
              </w:rPr>
            </w:pPr>
            <w:r>
              <w:rPr>
                <w:rFonts w:ascii="Arial" w:cs="Arial" w:eastAsia="Arial" w:hAnsi="Arial"/>
                <w:sz w:val="18"/>
                <w:szCs w:val="18"/>
                <w:color w:val="auto"/>
              </w:rPr>
              <w:t>207</w:t>
            </w: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10.26*</w:t>
            </w:r>
          </w:p>
        </w:tc>
        <w:tc>
          <w:tcPr>
            <w:tcW w:w="7540" w:type="dxa"/>
            <w:vAlign w:val="bottom"/>
            <w:gridSpan w:val="40"/>
          </w:tcPr>
          <w:p>
            <w:pPr>
              <w:spacing w:after="0"/>
              <w:rPr>
                <w:rFonts w:ascii="Arial" w:cs="Arial" w:eastAsia="Arial" w:hAnsi="Arial"/>
                <w:sz w:val="16"/>
                <w:szCs w:val="16"/>
                <w:color w:val="0000EE"/>
              </w:rPr>
            </w:pPr>
            <w:hyperlink r:id="rId312">
              <w:r>
                <w:rPr>
                  <w:rFonts w:ascii="Arial" w:cs="Arial" w:eastAsia="Arial" w:hAnsi="Arial"/>
                  <w:sz w:val="16"/>
                  <w:szCs w:val="16"/>
                  <w:color w:val="0000EE"/>
                </w:rPr>
                <w:t>Letter Agreement by and between Century Therapeutics, Inc. and FUJIFILM Cellular Dynamics,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540" w:type="dxa"/>
            <w:vAlign w:val="bottom"/>
            <w:gridSpan w:val="40"/>
          </w:tcPr>
          <w:p>
            <w:pPr>
              <w:spacing w:after="0" w:line="169" w:lineRule="exact"/>
              <w:rPr>
                <w:rFonts w:ascii="Arial" w:cs="Arial" w:eastAsia="Arial" w:hAnsi="Arial"/>
                <w:sz w:val="16"/>
                <w:szCs w:val="16"/>
                <w:color w:val="0000EE"/>
              </w:rPr>
            </w:pPr>
            <w:hyperlink r:id="rId312">
              <w:r>
                <w:rPr>
                  <w:rFonts w:ascii="Arial" w:cs="Arial" w:eastAsia="Arial" w:hAnsi="Arial"/>
                  <w:sz w:val="16"/>
                  <w:szCs w:val="16"/>
                  <w:color w:val="0000EE"/>
                </w:rPr>
                <w:t>dated January 7, 2022 (incorporated by reference to Exhibit 10.25 to the Company’s Annual Report on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02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312">
              <w:r>
                <w:rPr>
                  <w:rFonts w:ascii="Arial" w:cs="Arial" w:eastAsia="Arial" w:hAnsi="Arial"/>
                  <w:sz w:val="16"/>
                  <w:szCs w:val="16"/>
                  <w:color w:val="0000EE"/>
                </w:rPr>
                <w:t>Form 10-K (File No. 001-40498), dated March 17, 2022)</w:t>
              </w:r>
            </w:hyperlink>
          </w:p>
        </w:tc>
        <w:tc>
          <w:tcPr>
            <w:tcW w:w="332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10.27*</w:t>
            </w:r>
          </w:p>
        </w:tc>
        <w:tc>
          <w:tcPr>
            <w:tcW w:w="7540" w:type="dxa"/>
            <w:vAlign w:val="bottom"/>
            <w:gridSpan w:val="40"/>
          </w:tcPr>
          <w:p>
            <w:pPr>
              <w:spacing w:after="0"/>
              <w:rPr>
                <w:rFonts w:ascii="Arial" w:cs="Arial" w:eastAsia="Arial" w:hAnsi="Arial"/>
                <w:sz w:val="16"/>
                <w:szCs w:val="16"/>
                <w:color w:val="0000EE"/>
              </w:rPr>
            </w:pPr>
            <w:hyperlink r:id="rId313">
              <w:r>
                <w:rPr>
                  <w:rFonts w:ascii="Arial" w:cs="Arial" w:eastAsia="Arial" w:hAnsi="Arial"/>
                  <w:sz w:val="16"/>
                  <w:szCs w:val="16"/>
                  <w:color w:val="0000EE"/>
                </w:rPr>
                <w:t>Manufacturing Agreement, by and between Century Therapeutics, Inc. and FUJIFILM Cellular</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540" w:type="dxa"/>
            <w:vAlign w:val="bottom"/>
            <w:gridSpan w:val="40"/>
          </w:tcPr>
          <w:p>
            <w:pPr>
              <w:spacing w:after="0" w:line="169" w:lineRule="exact"/>
              <w:rPr>
                <w:rFonts w:ascii="Arial" w:cs="Arial" w:eastAsia="Arial" w:hAnsi="Arial"/>
                <w:sz w:val="16"/>
                <w:szCs w:val="16"/>
                <w:color w:val="0000EE"/>
              </w:rPr>
            </w:pPr>
            <w:hyperlink r:id="rId313">
              <w:r>
                <w:rPr>
                  <w:rFonts w:ascii="Arial" w:cs="Arial" w:eastAsia="Arial" w:hAnsi="Arial"/>
                  <w:sz w:val="16"/>
                  <w:szCs w:val="16"/>
                  <w:color w:val="0000EE"/>
                </w:rPr>
                <w:t>Dynamics, Inc., dated March 23, 2021 (incorporated by reference to Exhibit 10.25 to the Company’s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313">
              <w:r>
                <w:rPr>
                  <w:rFonts w:ascii="Arial" w:cs="Arial" w:eastAsia="Arial" w:hAnsi="Arial"/>
                  <w:sz w:val="16"/>
                  <w:szCs w:val="16"/>
                  <w:color w:val="0000EE"/>
                </w:rPr>
                <w:t>Registration Statement on Form S-1 (File No. 333-256648), dated May 28, 2021)</w:t>
              </w:r>
            </w:hyperlink>
          </w:p>
        </w:tc>
        <w:tc>
          <w:tcPr>
            <w:tcW w:w="1340" w:type="dxa"/>
            <w:vAlign w:val="bottom"/>
            <w:tcBorders>
              <w:top w:val="single" w:sz="8" w:color="0000EE"/>
            </w:tcBorders>
            <w:gridSpan w:val="8"/>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10.28*</w:t>
            </w:r>
          </w:p>
        </w:tc>
        <w:tc>
          <w:tcPr>
            <w:tcW w:w="7540" w:type="dxa"/>
            <w:vAlign w:val="bottom"/>
            <w:gridSpan w:val="40"/>
          </w:tcPr>
          <w:p>
            <w:pPr>
              <w:spacing w:after="0"/>
              <w:rPr>
                <w:rFonts w:ascii="Arial" w:cs="Arial" w:eastAsia="Arial" w:hAnsi="Arial"/>
                <w:sz w:val="16"/>
                <w:szCs w:val="16"/>
                <w:color w:val="0000EE"/>
              </w:rPr>
            </w:pPr>
            <w:hyperlink r:id="rId314">
              <w:r>
                <w:rPr>
                  <w:rFonts w:ascii="Arial" w:cs="Arial" w:eastAsia="Arial" w:hAnsi="Arial"/>
                  <w:sz w:val="16"/>
                  <w:szCs w:val="16"/>
                  <w:color w:val="0000EE"/>
                </w:rPr>
                <w:t>Sublicense Agreement, by and between iCELL Inc. and Century Therapeutics, Inc., dated March 20,</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20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314">
              <w:r>
                <w:rPr>
                  <w:rFonts w:ascii="Arial" w:cs="Arial" w:eastAsia="Arial" w:hAnsi="Arial"/>
                  <w:sz w:val="16"/>
                  <w:szCs w:val="16"/>
                  <w:color w:val="0000EE"/>
                </w:rPr>
                <w:t>2020 (incorporated by reference to Exhibit 10.27 to the Company’s Registration Statement on Form</w:t>
              </w:r>
            </w:hyperlink>
          </w:p>
        </w:tc>
        <w:tc>
          <w:tcPr>
            <w:tcW w:w="340" w:type="dxa"/>
            <w:vAlign w:val="bottom"/>
            <w:gridSpan w:val="18"/>
          </w:tcPr>
          <w:p>
            <w:pPr>
              <w:spacing w:after="0" w:line="169" w:lineRule="exact"/>
              <w:rPr>
                <w:rFonts w:ascii="Arial" w:cs="Arial" w:eastAsia="Arial" w:hAnsi="Arial"/>
                <w:sz w:val="16"/>
                <w:szCs w:val="16"/>
                <w:color w:val="0000EE"/>
              </w:rPr>
            </w:pPr>
            <w:hyperlink r:id="rId314">
              <w:r>
                <w:rPr>
                  <w:rFonts w:ascii="Arial" w:cs="Arial" w:eastAsia="Arial" w:hAnsi="Arial"/>
                  <w:sz w:val="16"/>
                  <w:szCs w:val="16"/>
                  <w:color w:val="0000EE"/>
                </w:rPr>
                <w:t>S-1</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314">
              <w:r>
                <w:rPr>
                  <w:rFonts w:ascii="Arial" w:cs="Arial" w:eastAsia="Arial" w:hAnsi="Arial"/>
                  <w:sz w:val="16"/>
                  <w:szCs w:val="16"/>
                  <w:color w:val="0000EE"/>
                </w:rPr>
                <w:t>(File No. 333-256648), dated May 28, 2021)</w:t>
              </w:r>
            </w:hyperlink>
          </w:p>
        </w:tc>
        <w:tc>
          <w:tcPr>
            <w:tcW w:w="4320" w:type="dxa"/>
            <w:vAlign w:val="bottom"/>
            <w:tcBorders>
              <w:top w:val="single" w:sz="8" w:color="0000EE"/>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10.29*</w:t>
            </w:r>
          </w:p>
        </w:tc>
        <w:tc>
          <w:tcPr>
            <w:tcW w:w="7540" w:type="dxa"/>
            <w:vAlign w:val="bottom"/>
            <w:gridSpan w:val="40"/>
          </w:tcPr>
          <w:p>
            <w:pPr>
              <w:spacing w:after="0"/>
              <w:rPr>
                <w:rFonts w:ascii="Arial" w:cs="Arial" w:eastAsia="Arial" w:hAnsi="Arial"/>
                <w:sz w:val="16"/>
                <w:szCs w:val="16"/>
                <w:color w:val="0000EE"/>
              </w:rPr>
            </w:pPr>
            <w:hyperlink r:id="rId315">
              <w:r>
                <w:rPr>
                  <w:rFonts w:ascii="Arial" w:cs="Arial" w:eastAsia="Arial" w:hAnsi="Arial"/>
                  <w:sz w:val="16"/>
                  <w:szCs w:val="16"/>
                  <w:color w:val="0000EE"/>
                </w:rPr>
                <w:t>License Agreement, by and among the Governing Council of the University of Toronto, the McMaster</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20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315">
              <w:r>
                <w:rPr>
                  <w:rFonts w:ascii="Arial" w:cs="Arial" w:eastAsia="Arial" w:hAnsi="Arial"/>
                  <w:sz w:val="16"/>
                  <w:szCs w:val="16"/>
                  <w:color w:val="0000EE"/>
                </w:rPr>
                <w:t>University and Empirica Therapeutics, dated January 22, 2019 (incorporated by reference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66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315">
              <w:r>
                <w:rPr>
                  <w:rFonts w:ascii="Arial" w:cs="Arial" w:eastAsia="Arial" w:hAnsi="Arial"/>
                  <w:sz w:val="16"/>
                  <w:szCs w:val="16"/>
                  <w:color w:val="0000EE"/>
                </w:rPr>
                <w:t>Exhibit 10.28 to the Company’s Registration Statement on Form S-1 (File No. 333-256648),</w:t>
              </w:r>
            </w:hyperlink>
          </w:p>
        </w:tc>
        <w:tc>
          <w:tcPr>
            <w:tcW w:w="940" w:type="dxa"/>
            <w:vAlign w:val="bottom"/>
            <w:gridSpan w:val="24"/>
          </w:tcPr>
          <w:p>
            <w:pPr>
              <w:spacing w:after="0" w:line="169" w:lineRule="exact"/>
              <w:rPr>
                <w:rFonts w:ascii="Arial" w:cs="Arial" w:eastAsia="Arial" w:hAnsi="Arial"/>
                <w:sz w:val="16"/>
                <w:szCs w:val="16"/>
                <w:color w:val="0000EE"/>
              </w:rPr>
            </w:pPr>
            <w:hyperlink r:id="rId315">
              <w:r>
                <w:rPr>
                  <w:rFonts w:ascii="Arial" w:cs="Arial" w:eastAsia="Arial" w:hAnsi="Arial"/>
                  <w:sz w:val="16"/>
                  <w:szCs w:val="16"/>
                  <w:color w:val="0000EE"/>
                </w:rPr>
                <w:t>dated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9"/>
              </w:rPr>
            </w:pPr>
            <w:hyperlink r:id="rId315">
              <w:r>
                <w:rPr>
                  <w:rFonts w:ascii="Arial" w:cs="Arial" w:eastAsia="Arial" w:hAnsi="Arial"/>
                  <w:sz w:val="16"/>
                  <w:szCs w:val="16"/>
                  <w:color w:val="0000EE"/>
                  <w:w w:val="99"/>
                </w:rPr>
                <w:t>May 28, 2021)</w:t>
              </w:r>
            </w:hyperlink>
          </w:p>
        </w:tc>
        <w:tc>
          <w:tcPr>
            <w:tcW w:w="5960" w:type="dxa"/>
            <w:vAlign w:val="bottom"/>
            <w:tcBorders>
              <w:top w:val="single" w:sz="8" w:color="0000EE"/>
            </w:tcBorders>
            <w:gridSpan w:val="17"/>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10.30</w:t>
            </w:r>
          </w:p>
        </w:tc>
        <w:tc>
          <w:tcPr>
            <w:tcW w:w="7220" w:type="dxa"/>
            <w:vAlign w:val="bottom"/>
            <w:tcBorders>
              <w:bottom w:val="single" w:sz="8" w:color="0000EE"/>
            </w:tcBorders>
            <w:gridSpan w:val="23"/>
          </w:tcPr>
          <w:p>
            <w:pPr>
              <w:spacing w:after="0"/>
              <w:rPr>
                <w:rFonts w:ascii="Arial" w:cs="Arial" w:eastAsia="Arial" w:hAnsi="Arial"/>
                <w:sz w:val="16"/>
                <w:szCs w:val="16"/>
                <w:color w:val="0000EE"/>
              </w:rPr>
            </w:pPr>
            <w:hyperlink r:id="rId316">
              <w:r>
                <w:rPr>
                  <w:rFonts w:ascii="Arial" w:cs="Arial" w:eastAsia="Arial" w:hAnsi="Arial"/>
                  <w:sz w:val="16"/>
                  <w:szCs w:val="16"/>
                  <w:color w:val="0000EE"/>
                </w:rPr>
                <w:t>License Agreement, by and between Inscripta, Inc. and Century Therapeutics, Inc., dated January 1,</w:t>
              </w:r>
            </w:hyperlink>
          </w:p>
        </w:tc>
        <w:tc>
          <w:tcPr>
            <w:tcW w:w="3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540" w:type="dxa"/>
            <w:vAlign w:val="bottom"/>
            <w:gridSpan w:val="40"/>
          </w:tcPr>
          <w:p>
            <w:pPr>
              <w:spacing w:after="0" w:line="169" w:lineRule="exact"/>
              <w:rPr>
                <w:rFonts w:ascii="Arial" w:cs="Arial" w:eastAsia="Arial" w:hAnsi="Arial"/>
                <w:sz w:val="16"/>
                <w:szCs w:val="16"/>
                <w:color w:val="0000EE"/>
              </w:rPr>
            </w:pPr>
            <w:hyperlink r:id="rId316">
              <w:r>
                <w:rPr>
                  <w:rFonts w:ascii="Arial" w:cs="Arial" w:eastAsia="Arial" w:hAnsi="Arial"/>
                  <w:sz w:val="16"/>
                  <w:szCs w:val="16"/>
                  <w:color w:val="0000EE"/>
                </w:rPr>
                <w:t>2019 (incorporated by reference to Exhibit 10.29 to the Company’s Registration Statement on Form S-1</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316">
              <w:r>
                <w:rPr>
                  <w:rFonts w:ascii="Arial" w:cs="Arial" w:eastAsia="Arial" w:hAnsi="Arial"/>
                  <w:sz w:val="16"/>
                  <w:szCs w:val="16"/>
                  <w:color w:val="0000EE"/>
                </w:rPr>
                <w:t>(File No. 333-256648), dated May 28, 2021)</w:t>
              </w:r>
            </w:hyperlink>
          </w:p>
        </w:tc>
        <w:tc>
          <w:tcPr>
            <w:tcW w:w="4320" w:type="dxa"/>
            <w:vAlign w:val="bottom"/>
            <w:tcBorders>
              <w:top w:val="single" w:sz="8" w:color="0000EE"/>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10.31*</w:t>
            </w:r>
          </w:p>
        </w:tc>
        <w:tc>
          <w:tcPr>
            <w:tcW w:w="7540" w:type="dxa"/>
            <w:vAlign w:val="bottom"/>
            <w:gridSpan w:val="40"/>
          </w:tcPr>
          <w:p>
            <w:pPr>
              <w:spacing w:after="0"/>
              <w:rPr>
                <w:rFonts w:ascii="Arial" w:cs="Arial" w:eastAsia="Arial" w:hAnsi="Arial"/>
                <w:sz w:val="16"/>
                <w:szCs w:val="16"/>
                <w:color w:val="0000EE"/>
              </w:rPr>
            </w:pPr>
            <w:hyperlink r:id="rId317">
              <w:r>
                <w:rPr>
                  <w:rFonts w:ascii="Arial" w:cs="Arial" w:eastAsia="Arial" w:hAnsi="Arial"/>
                  <w:sz w:val="16"/>
                  <w:szCs w:val="16"/>
                  <w:color w:val="0000EE"/>
                </w:rPr>
                <w:t>Research Collaboration and License Agreement, by and between Century Therapeutics, Inc. and Bristol-</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50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r:id="rId317">
              <w:r>
                <w:rPr>
                  <w:rFonts w:ascii="Arial" w:cs="Arial" w:eastAsia="Arial" w:hAnsi="Arial"/>
                  <w:sz w:val="16"/>
                  <w:szCs w:val="16"/>
                  <w:color w:val="0000EE"/>
                </w:rPr>
                <w:t>Myers Squibb Company, dated January 7, 2022 (incorporated by reference to Exhibit 10.31 to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618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rPr>
            </w:pPr>
            <w:hyperlink r:id="rId317">
              <w:r>
                <w:rPr>
                  <w:rFonts w:ascii="Arial" w:cs="Arial" w:eastAsia="Arial" w:hAnsi="Arial"/>
                  <w:sz w:val="16"/>
                  <w:szCs w:val="16"/>
                  <w:color w:val="0000EE"/>
                </w:rPr>
                <w:t>Company’s Annual Report on Form 10-K (File No. 001-40498), dated March 17, 2022)</w:t>
              </w:r>
            </w:hyperlink>
          </w:p>
        </w:tc>
        <w:tc>
          <w:tcPr>
            <w:tcW w:w="800" w:type="dxa"/>
            <w:vAlign w:val="bottom"/>
            <w:tcBorders>
              <w:top w:val="single" w:sz="8" w:color="0000EE"/>
            </w:tcBorders>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10.32</w:t>
            </w:r>
            <w:r>
              <w:rPr>
                <w:rFonts w:ascii="Times New Roman" w:cs="Times New Roman" w:eastAsia="Times New Roman" w:hAnsi="Times New Roman"/>
                <w:sz w:val="17"/>
                <w:szCs w:val="17"/>
                <w:color w:val="231F20"/>
              </w:rPr>
              <w:t>·</w:t>
            </w:r>
          </w:p>
        </w:tc>
        <w:tc>
          <w:tcPr>
            <w:tcW w:w="7200" w:type="dxa"/>
            <w:vAlign w:val="bottom"/>
            <w:tcBorders>
              <w:bottom w:val="single" w:sz="8" w:color="0000EE"/>
            </w:tcBorders>
            <w:gridSpan w:val="22"/>
          </w:tcPr>
          <w:p>
            <w:pPr>
              <w:spacing w:after="0"/>
              <w:rPr>
                <w:rFonts w:ascii="Arial" w:cs="Arial" w:eastAsia="Arial" w:hAnsi="Arial"/>
                <w:sz w:val="16"/>
                <w:szCs w:val="16"/>
                <w:color w:val="0000EE"/>
              </w:rPr>
            </w:pPr>
            <w:hyperlink r:id="rId318">
              <w:r>
                <w:rPr>
                  <w:rFonts w:ascii="Arial" w:cs="Arial" w:eastAsia="Arial" w:hAnsi="Arial"/>
                  <w:sz w:val="16"/>
                  <w:szCs w:val="16"/>
                  <w:color w:val="0000EE"/>
                </w:rPr>
                <w:t>Executive Employment Agreement, by and between the Registrant and Adrienne Farid, Ph.D., dated</w:t>
              </w:r>
            </w:hyperlink>
          </w:p>
        </w:tc>
        <w:tc>
          <w:tcPr>
            <w:tcW w:w="34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540" w:type="dxa"/>
            <w:vAlign w:val="bottom"/>
            <w:gridSpan w:val="40"/>
          </w:tcPr>
          <w:p>
            <w:pPr>
              <w:spacing w:after="0" w:line="169" w:lineRule="exact"/>
              <w:rPr>
                <w:rFonts w:ascii="Arial" w:cs="Arial" w:eastAsia="Arial" w:hAnsi="Arial"/>
                <w:sz w:val="16"/>
                <w:szCs w:val="16"/>
                <w:color w:val="0000EE"/>
              </w:rPr>
            </w:pPr>
            <w:hyperlink r:id="rId318">
              <w:r>
                <w:rPr>
                  <w:rFonts w:ascii="Arial" w:cs="Arial" w:eastAsia="Arial" w:hAnsi="Arial"/>
                  <w:sz w:val="16"/>
                  <w:szCs w:val="16"/>
                  <w:color w:val="0000EE"/>
                </w:rPr>
                <w:t>May 26, 2021 (incorporated by reference to Exhibit 10.34 to the Company’s Registration Statement on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318">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10.33</w:t>
            </w:r>
            <w:r>
              <w:rPr>
                <w:rFonts w:ascii="Times New Roman" w:cs="Times New Roman" w:eastAsia="Times New Roman" w:hAnsi="Times New Roman"/>
                <w:sz w:val="17"/>
                <w:szCs w:val="17"/>
                <w:color w:val="231F20"/>
              </w:rPr>
              <w:t>·</w:t>
            </w:r>
          </w:p>
        </w:tc>
        <w:tc>
          <w:tcPr>
            <w:tcW w:w="7540" w:type="dxa"/>
            <w:vAlign w:val="bottom"/>
            <w:gridSpan w:val="40"/>
          </w:tcPr>
          <w:p>
            <w:pPr>
              <w:spacing w:after="0"/>
              <w:rPr>
                <w:rFonts w:ascii="Arial" w:cs="Arial" w:eastAsia="Arial" w:hAnsi="Arial"/>
                <w:sz w:val="16"/>
                <w:szCs w:val="16"/>
                <w:color w:val="0000EE"/>
              </w:rPr>
            </w:pPr>
            <w:hyperlink r:id="rId319">
              <w:r>
                <w:rPr>
                  <w:rFonts w:ascii="Arial" w:cs="Arial" w:eastAsia="Arial" w:hAnsi="Arial"/>
                  <w:sz w:val="16"/>
                  <w:szCs w:val="16"/>
                  <w:color w:val="0000EE"/>
                </w:rPr>
                <w:t>Executive Employment Agreement, by and between the Registrant and Gregory Russotti, Ph.D., dated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36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r:id="rId319">
              <w:r>
                <w:rPr>
                  <w:rFonts w:ascii="Arial" w:cs="Arial" w:eastAsia="Arial" w:hAnsi="Arial"/>
                  <w:sz w:val="16"/>
                  <w:szCs w:val="16"/>
                  <w:color w:val="0000EE"/>
                </w:rPr>
                <w:t>May 26, 2021 (incorporated by reference to Exhibit 10.35 to the Company’s Registration Statement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319">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1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10.34</w:t>
            </w:r>
          </w:p>
        </w:tc>
        <w:tc>
          <w:tcPr>
            <w:tcW w:w="7540" w:type="dxa"/>
            <w:vAlign w:val="bottom"/>
            <w:gridSpan w:val="40"/>
          </w:tcPr>
          <w:p>
            <w:pPr>
              <w:spacing w:after="0"/>
              <w:rPr>
                <w:rFonts w:ascii="Arial" w:cs="Arial" w:eastAsia="Arial" w:hAnsi="Arial"/>
                <w:sz w:val="16"/>
                <w:szCs w:val="16"/>
                <w:color w:val="0000EE"/>
              </w:rPr>
            </w:pPr>
            <w:hyperlink r:id="rId320">
              <w:r>
                <w:rPr>
                  <w:rFonts w:ascii="Arial" w:cs="Arial" w:eastAsia="Arial" w:hAnsi="Arial"/>
                  <w:sz w:val="16"/>
                  <w:szCs w:val="16"/>
                  <w:color w:val="0000EE"/>
                </w:rPr>
                <w:t>Sales Agreement, dated as of July 1, 2022, by and between Century Therapeutics, Inc. and Cowen and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50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r:id="rId320">
              <w:r>
                <w:rPr>
                  <w:rFonts w:ascii="Arial" w:cs="Arial" w:eastAsia="Arial" w:hAnsi="Arial"/>
                  <w:sz w:val="16"/>
                  <w:szCs w:val="16"/>
                  <w:color w:val="0000EE"/>
                </w:rPr>
                <w:t>Company, LLC (incorporated by reference to Exhibit 1.2 to the Company’s Registration Statement on</w:t>
              </w:r>
            </w:hyperlink>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320">
              <w:r>
                <w:rPr>
                  <w:rFonts w:ascii="Arial" w:cs="Arial" w:eastAsia="Arial" w:hAnsi="Arial"/>
                  <w:sz w:val="16"/>
                  <w:szCs w:val="16"/>
                  <w:color w:val="0000EE"/>
                </w:rPr>
                <w:t>Form S-3 (File No. 333-265975), dated July 13, 2022)</w:t>
              </w:r>
            </w:hyperlink>
          </w:p>
        </w:tc>
        <w:tc>
          <w:tcPr>
            <w:tcW w:w="336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10.35</w:t>
            </w:r>
            <w:r>
              <w:rPr>
                <w:rFonts w:ascii="Times New Roman" w:cs="Times New Roman" w:eastAsia="Times New Roman" w:hAnsi="Times New Roman"/>
                <w:sz w:val="17"/>
                <w:szCs w:val="17"/>
                <w:color w:val="231F20"/>
              </w:rPr>
              <w:t>·</w:t>
            </w:r>
          </w:p>
        </w:tc>
        <w:tc>
          <w:tcPr>
            <w:tcW w:w="7540" w:type="dxa"/>
            <w:vAlign w:val="bottom"/>
            <w:gridSpan w:val="40"/>
          </w:tcPr>
          <w:p>
            <w:pPr>
              <w:spacing w:after="0"/>
              <w:rPr>
                <w:sz w:val="20"/>
                <w:szCs w:val="20"/>
                <w:color w:val="auto"/>
              </w:rPr>
            </w:pPr>
            <w:r>
              <w:rPr>
                <w:rFonts w:ascii="Arial" w:cs="Arial" w:eastAsia="Arial" w:hAnsi="Arial"/>
                <w:sz w:val="16"/>
                <w:szCs w:val="16"/>
                <w:color w:val="0000EE"/>
              </w:rPr>
              <w:t>Executive Employment Agreement, by and between the Registrant and Brent Pfeiffenberger, Pharm.D.,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4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6"/>
                <w:szCs w:val="16"/>
                <w:color w:val="0000EE"/>
              </w:rPr>
              <w:t>MBA, dated November 7, 2023</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ind w:right="499"/>
              <w:spacing w:after="0"/>
              <w:rPr>
                <w:sz w:val="20"/>
                <w:szCs w:val="20"/>
                <w:color w:val="auto"/>
              </w:rPr>
            </w:pPr>
            <w:r>
              <w:rPr>
                <w:rFonts w:ascii="Arial" w:cs="Arial" w:eastAsia="Arial" w:hAnsi="Arial"/>
                <w:sz w:val="16"/>
                <w:szCs w:val="16"/>
                <w:color w:val="auto"/>
              </w:rPr>
              <w:t>10.36</w:t>
            </w:r>
            <w:r>
              <w:rPr>
                <w:rFonts w:ascii="Times New Roman" w:cs="Times New Roman" w:eastAsia="Times New Roman" w:hAnsi="Times New Roman"/>
                <w:sz w:val="17"/>
                <w:szCs w:val="17"/>
                <w:color w:val="231F20"/>
              </w:rPr>
              <w:t>·</w:t>
            </w:r>
          </w:p>
        </w:tc>
        <w:tc>
          <w:tcPr>
            <w:tcW w:w="4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7540" w:type="dxa"/>
            <w:vAlign w:val="bottom"/>
            <w:gridSpan w:val="40"/>
          </w:tcPr>
          <w:p>
            <w:pPr>
              <w:spacing w:after="0"/>
              <w:rPr>
                <w:rFonts w:ascii="Arial" w:cs="Arial" w:eastAsia="Arial" w:hAnsi="Arial"/>
                <w:sz w:val="16"/>
                <w:szCs w:val="16"/>
                <w:color w:val="0000EE"/>
              </w:rPr>
            </w:pPr>
            <w:hyperlink r:id="rId321">
              <w:r>
                <w:rPr>
                  <w:rFonts w:ascii="Arial" w:cs="Arial" w:eastAsia="Arial" w:hAnsi="Arial"/>
                  <w:sz w:val="16"/>
                  <w:szCs w:val="16"/>
                  <w:color w:val="0000EE"/>
                </w:rPr>
                <w:t>Executive Employment Agreement, by and between the Registrant and Hyam Levitsky, M.D., dated April</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8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r:id="rId321">
              <w:r>
                <w:rPr>
                  <w:rFonts w:ascii="Arial" w:cs="Arial" w:eastAsia="Arial" w:hAnsi="Arial"/>
                  <w:sz w:val="16"/>
                  <w:szCs w:val="16"/>
                  <w:color w:val="0000EE"/>
                </w:rPr>
                <w:t>15, 2023 (incorporated by reference to Exhibit 10.1 to the Company’s Quarterly Report on Form 10-Q</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321">
              <w:r>
                <w:rPr>
                  <w:rFonts w:ascii="Arial" w:cs="Arial" w:eastAsia="Arial" w:hAnsi="Arial"/>
                  <w:sz w:val="16"/>
                  <w:szCs w:val="16"/>
                  <w:color w:val="0000EE"/>
                </w:rPr>
                <w:t>(File No. 001-40498), dated May 11, 2023)</w:t>
              </w:r>
            </w:hyperlink>
          </w:p>
        </w:tc>
        <w:tc>
          <w:tcPr>
            <w:tcW w:w="4180" w:type="dxa"/>
            <w:vAlign w:val="bottom"/>
            <w:tcBorders>
              <w:top w:val="single" w:sz="8" w:color="0000EE"/>
            </w:tcBorders>
            <w:gridSpan w:val="19"/>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10.37*</w:t>
            </w:r>
          </w:p>
        </w:tc>
        <w:tc>
          <w:tcPr>
            <w:tcW w:w="7540" w:type="dxa"/>
            <w:vAlign w:val="bottom"/>
            <w:gridSpan w:val="40"/>
          </w:tcPr>
          <w:p>
            <w:pPr>
              <w:spacing w:after="0"/>
              <w:rPr>
                <w:rFonts w:ascii="Arial" w:cs="Arial" w:eastAsia="Arial" w:hAnsi="Arial"/>
                <w:sz w:val="16"/>
                <w:szCs w:val="16"/>
                <w:color w:val="0000EE"/>
              </w:rPr>
            </w:pPr>
            <w:hyperlink r:id="rId322">
              <w:r>
                <w:rPr>
                  <w:rFonts w:ascii="Arial" w:cs="Arial" w:eastAsia="Arial" w:hAnsi="Arial"/>
                  <w:sz w:val="16"/>
                  <w:szCs w:val="16"/>
                  <w:color w:val="0000EE"/>
                </w:rPr>
                <w:t>Second Amendment to License Agreement (Reprogramming), by and between Century Therapeutics,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28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322">
              <w:r>
                <w:rPr>
                  <w:rFonts w:ascii="Arial" w:cs="Arial" w:eastAsia="Arial" w:hAnsi="Arial"/>
                  <w:sz w:val="16"/>
                  <w:szCs w:val="16"/>
                  <w:color w:val="0000EE"/>
                </w:rPr>
                <w:t>Inc. and FUJIFILM Cellular Dynamics Inc., dated September 22, 2023 (incorporated by reference to</w:t>
              </w:r>
            </w:hyperlink>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2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8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540" w:type="dxa"/>
            <w:vAlign w:val="bottom"/>
            <w:tcBorders>
              <w:bottom w:val="single" w:sz="8" w:color="0000EE"/>
            </w:tcBorders>
            <w:gridSpan w:val="40"/>
          </w:tcPr>
          <w:p>
            <w:pPr>
              <w:spacing w:after="0" w:line="169" w:lineRule="exact"/>
              <w:rPr>
                <w:rFonts w:ascii="Arial" w:cs="Arial" w:eastAsia="Arial" w:hAnsi="Arial"/>
                <w:sz w:val="16"/>
                <w:szCs w:val="16"/>
                <w:color w:val="0000EE"/>
              </w:rPr>
            </w:pPr>
            <w:hyperlink r:id="rId322">
              <w:r>
                <w:rPr>
                  <w:rFonts w:ascii="Arial" w:cs="Arial" w:eastAsia="Arial" w:hAnsi="Arial"/>
                  <w:sz w:val="16"/>
                  <w:szCs w:val="16"/>
                  <w:color w:val="0000EE"/>
                </w:rPr>
                <w:t>Exhibit 10.1 to the Company’s Quarterly Report on Form 10-Q (File No. 001-404098), dated November 9,</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20" w:type="dxa"/>
            <w:vAlign w:val="bottom"/>
            <w:tcBorders>
              <w:bottom w:val="single" w:sz="8" w:color="0000EE"/>
            </w:tcBorders>
          </w:tcPr>
          <w:p>
            <w:pPr>
              <w:spacing w:after="0" w:line="169" w:lineRule="exact"/>
              <w:rPr>
                <w:rFonts w:ascii="Arial" w:cs="Arial" w:eastAsia="Arial" w:hAnsi="Arial"/>
                <w:sz w:val="16"/>
                <w:szCs w:val="16"/>
                <w:color w:val="0000EE"/>
                <w:w w:val="97"/>
              </w:rPr>
            </w:pPr>
            <w:hyperlink r:id="rId322">
              <w:r>
                <w:rPr>
                  <w:rFonts w:ascii="Arial" w:cs="Arial" w:eastAsia="Arial" w:hAnsi="Arial"/>
                  <w:sz w:val="16"/>
                  <w:szCs w:val="16"/>
                  <w:color w:val="0000EE"/>
                  <w:w w:val="97"/>
                </w:rPr>
                <w:t>2023)</w:t>
              </w:r>
            </w:hyperlink>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10.38</w:t>
            </w:r>
          </w:p>
        </w:tc>
        <w:tc>
          <w:tcPr>
            <w:tcW w:w="7540" w:type="dxa"/>
            <w:vAlign w:val="bottom"/>
            <w:gridSpan w:val="40"/>
          </w:tcPr>
          <w:p>
            <w:pPr>
              <w:spacing w:after="0"/>
              <w:rPr>
                <w:rFonts w:ascii="Arial" w:cs="Arial" w:eastAsia="Arial" w:hAnsi="Arial"/>
                <w:sz w:val="16"/>
                <w:szCs w:val="16"/>
                <w:color w:val="0000EE"/>
              </w:rPr>
            </w:pPr>
            <w:hyperlink r:id="rId323">
              <w:r>
                <w:rPr>
                  <w:rFonts w:ascii="Arial" w:cs="Arial" w:eastAsia="Arial" w:hAnsi="Arial"/>
                  <w:sz w:val="16"/>
                  <w:szCs w:val="16"/>
                  <w:color w:val="0000EE"/>
                </w:rPr>
                <w:t>Amendment No. 5 to Master Collaboration Agreement, by and between Century Therapeutics, Inc. and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20" w:type="dxa"/>
            <w:vAlign w:val="bottom"/>
            <w:tcBorders>
              <w:top w:val="single" w:sz="8" w:color="0000EE"/>
              <w:bottom w:val="single" w:sz="8" w:color="0000EE"/>
            </w:tcBorders>
            <w:gridSpan w:val="31"/>
          </w:tcPr>
          <w:p>
            <w:pPr>
              <w:spacing w:after="0" w:line="169" w:lineRule="exact"/>
              <w:rPr>
                <w:rFonts w:ascii="Arial" w:cs="Arial" w:eastAsia="Arial" w:hAnsi="Arial"/>
                <w:sz w:val="16"/>
                <w:szCs w:val="16"/>
                <w:color w:val="0000EE"/>
              </w:rPr>
            </w:pPr>
            <w:hyperlink r:id="rId323">
              <w:r>
                <w:rPr>
                  <w:rFonts w:ascii="Arial" w:cs="Arial" w:eastAsia="Arial" w:hAnsi="Arial"/>
                  <w:sz w:val="16"/>
                  <w:szCs w:val="16"/>
                  <w:color w:val="0000EE"/>
                </w:rPr>
                <w:t>FUJIFILM Cellular Dynamics Inc., dated September 22, 2023 (incorporated by reference to Exhibit 10.2</w:t>
              </w:r>
            </w:hyperlink>
          </w:p>
        </w:tc>
        <w:tc>
          <w:tcPr>
            <w:tcW w:w="40" w:type="dxa"/>
            <w:vAlign w:val="bottom"/>
            <w:tcBorders>
              <w:bottom w:val="single" w:sz="8" w:color="0000EE"/>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60" w:type="dxa"/>
            <w:vAlign w:val="bottom"/>
            <w:gridSpan w:val="33"/>
          </w:tcPr>
          <w:p>
            <w:pPr>
              <w:spacing w:after="0" w:line="169" w:lineRule="exact"/>
              <w:rPr>
                <w:rFonts w:ascii="Arial" w:cs="Arial" w:eastAsia="Arial" w:hAnsi="Arial"/>
                <w:sz w:val="16"/>
                <w:szCs w:val="16"/>
                <w:color w:val="0000EE"/>
              </w:rPr>
            </w:pPr>
            <w:hyperlink r:id="rId323">
              <w:r>
                <w:rPr>
                  <w:rFonts w:ascii="Arial" w:cs="Arial" w:eastAsia="Arial" w:hAnsi="Arial"/>
                  <w:sz w:val="16"/>
                  <w:szCs w:val="16"/>
                  <w:color w:val="0000EE"/>
                </w:rPr>
                <w:t>to the Company’s Quarterly Report on Form 10-Q (File No. 001-404098), dated November 9, 2023)</w:t>
              </w:r>
            </w:hyperlink>
          </w:p>
        </w:tc>
        <w:tc>
          <w:tcPr>
            <w:tcW w:w="60" w:type="dxa"/>
            <w:vAlign w:val="bottom"/>
            <w:gridSpan w:val="3"/>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32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18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10.39</w:t>
            </w:r>
          </w:p>
        </w:tc>
        <w:tc>
          <w:tcPr>
            <w:tcW w:w="7540" w:type="dxa"/>
            <w:vAlign w:val="bottom"/>
            <w:gridSpan w:val="40"/>
          </w:tcPr>
          <w:p>
            <w:pPr>
              <w:spacing w:after="0"/>
              <w:rPr>
                <w:rFonts w:ascii="Arial" w:cs="Arial" w:eastAsia="Arial" w:hAnsi="Arial"/>
                <w:sz w:val="16"/>
                <w:szCs w:val="16"/>
                <w:color w:val="0000EE"/>
              </w:rPr>
            </w:pPr>
            <w:hyperlink r:id="rId324">
              <w:r>
                <w:rPr>
                  <w:rFonts w:ascii="Arial" w:cs="Arial" w:eastAsia="Arial" w:hAnsi="Arial"/>
                  <w:sz w:val="16"/>
                  <w:szCs w:val="16"/>
                  <w:color w:val="0000EE"/>
                </w:rPr>
                <w:t>Second Amendment to License Agreement (Differentiation), by and between Century Therapeutics, Inc.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00" w:type="dxa"/>
            <w:vAlign w:val="bottom"/>
            <w:tcBorders>
              <w:top w:val="single" w:sz="8" w:color="0000EE"/>
              <w:bottom w:val="single" w:sz="8" w:color="0000EE"/>
            </w:tcBorders>
            <w:gridSpan w:val="30"/>
          </w:tcPr>
          <w:p>
            <w:pPr>
              <w:spacing w:after="0" w:line="169" w:lineRule="exact"/>
              <w:rPr>
                <w:rFonts w:ascii="Arial" w:cs="Arial" w:eastAsia="Arial" w:hAnsi="Arial"/>
                <w:sz w:val="16"/>
                <w:szCs w:val="16"/>
                <w:color w:val="0000EE"/>
              </w:rPr>
            </w:pPr>
            <w:hyperlink r:id="rId324">
              <w:r>
                <w:rPr>
                  <w:rFonts w:ascii="Arial" w:cs="Arial" w:eastAsia="Arial" w:hAnsi="Arial"/>
                  <w:sz w:val="16"/>
                  <w:szCs w:val="16"/>
                  <w:color w:val="0000EE"/>
                </w:rPr>
                <w:t>and FUJIFILM Cellular Dynamics Inc., dated September 22, 2023 (incorporated by reference to Exhibit</w:t>
              </w:r>
            </w:hyperlink>
          </w:p>
        </w:tc>
        <w:tc>
          <w:tcPr>
            <w:tcW w:w="120" w:type="dxa"/>
            <w:vAlign w:val="bottom"/>
            <w:tcBorders>
              <w:top w:val="single" w:sz="8" w:color="0000EE"/>
            </w:tcBorders>
            <w:gridSpan w:val="6"/>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48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324">
              <w:r>
                <w:rPr>
                  <w:rFonts w:ascii="Arial" w:cs="Arial" w:eastAsia="Arial" w:hAnsi="Arial"/>
                  <w:sz w:val="16"/>
                  <w:szCs w:val="16"/>
                  <w:color w:val="0000EE"/>
                </w:rPr>
                <w:t>10.</w:t>
              </w:r>
              <w:r>
                <w:rPr>
                  <w:rFonts w:ascii="Arial" w:cs="Arial" w:eastAsia="Arial" w:hAnsi="Arial"/>
                  <w:sz w:val="16"/>
                  <w:szCs w:val="16"/>
                  <w:u w:val="single" w:color="auto"/>
                  <w:color w:val="0000EE"/>
                </w:rPr>
                <w:t>3</w:t>
              </w:r>
              <w:r>
                <w:rPr>
                  <w:rFonts w:ascii="Arial" w:cs="Arial" w:eastAsia="Arial" w:hAnsi="Arial"/>
                  <w:sz w:val="16"/>
                  <w:szCs w:val="16"/>
                  <w:color w:val="0000EE"/>
                </w:rPr>
                <w:t xml:space="preserve"> to the Company’s Quarterly Report on Form 10-Q (File No. 001-404098), dated November 9, 2023)</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10.40*</w:t>
            </w:r>
          </w:p>
        </w:tc>
        <w:tc>
          <w:tcPr>
            <w:tcW w:w="7540" w:type="dxa"/>
            <w:vAlign w:val="bottom"/>
            <w:gridSpan w:val="40"/>
          </w:tcPr>
          <w:p>
            <w:pPr>
              <w:spacing w:after="0"/>
              <w:rPr>
                <w:sz w:val="20"/>
                <w:szCs w:val="20"/>
                <w:color w:val="auto"/>
              </w:rPr>
            </w:pPr>
            <w:r>
              <w:rPr>
                <w:rFonts w:ascii="Arial" w:cs="Arial" w:eastAsia="Arial" w:hAnsi="Arial"/>
                <w:sz w:val="16"/>
                <w:szCs w:val="16"/>
                <w:color w:val="0000EE"/>
              </w:rPr>
              <w:t>License Agreement by and between Century Therapeutics, Inc. and FUJIFILM Cellular Dynamics, Inc.,</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92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rPr>
              <w:t>dated September 22, 2023</w:t>
            </w:r>
          </w:p>
        </w:tc>
        <w:tc>
          <w:tcPr>
            <w:tcW w:w="5460" w:type="dxa"/>
            <w:vAlign w:val="bottom"/>
            <w:tcBorders>
              <w:top w:val="single" w:sz="8" w:color="0000EE"/>
            </w:tcBorders>
            <w:gridSpan w:val="26"/>
          </w:tcPr>
          <w:p>
            <w:pPr>
              <w:spacing w:after="0"/>
              <w:rPr>
                <w:sz w:val="14"/>
                <w:szCs w:val="14"/>
                <w:color w:val="auto"/>
              </w:rPr>
            </w:pPr>
          </w:p>
        </w:tc>
        <w:tc>
          <w:tcPr>
            <w:tcW w:w="14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21.1</w:t>
            </w:r>
          </w:p>
        </w:tc>
        <w:tc>
          <w:tcPr>
            <w:tcW w:w="7540" w:type="dxa"/>
            <w:vAlign w:val="bottom"/>
            <w:gridSpan w:val="40"/>
          </w:tcPr>
          <w:p>
            <w:pPr>
              <w:spacing w:after="0"/>
              <w:rPr>
                <w:rFonts w:ascii="Arial" w:cs="Arial" w:eastAsia="Arial" w:hAnsi="Arial"/>
                <w:sz w:val="16"/>
                <w:szCs w:val="16"/>
                <w:color w:val="0000EE"/>
              </w:rPr>
            </w:pPr>
            <w:hyperlink r:id="rId325">
              <w:r>
                <w:rPr>
                  <w:rFonts w:ascii="Arial" w:cs="Arial" w:eastAsia="Arial" w:hAnsi="Arial"/>
                  <w:sz w:val="16"/>
                  <w:szCs w:val="16"/>
                  <w:color w:val="0000EE"/>
                </w:rPr>
                <w:t>Subsidiaries of the Registrant (incorporated by reference to Exhibit 1.12 to the Company’s Annual Report</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7520" w:type="dxa"/>
            <w:vAlign w:val="bottom"/>
            <w:tcBorders>
              <w:top w:val="single" w:sz="8" w:color="0000EE"/>
            </w:tcBorders>
            <w:gridSpan w:val="39"/>
          </w:tcPr>
          <w:p>
            <w:pPr>
              <w:spacing w:after="0" w:line="169" w:lineRule="exact"/>
              <w:rPr>
                <w:rFonts w:ascii="Arial" w:cs="Arial" w:eastAsia="Arial" w:hAnsi="Arial"/>
                <w:sz w:val="16"/>
                <w:szCs w:val="16"/>
                <w:color w:val="0000EE"/>
              </w:rPr>
            </w:pPr>
            <w:hyperlink r:id="rId325">
              <w:r>
                <w:rPr>
                  <w:rFonts w:ascii="Arial" w:cs="Arial" w:eastAsia="Arial" w:hAnsi="Arial"/>
                  <w:sz w:val="16"/>
                  <w:szCs w:val="16"/>
                  <w:color w:val="0000EE"/>
                </w:rPr>
                <w:t>on Form 10-K (File No. 001-40498), dated March 17,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40" w:type="dxa"/>
            <w:vAlign w:val="bottom"/>
            <w:gridSpan w:val="10"/>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23.1</w:t>
            </w:r>
          </w:p>
        </w:tc>
        <w:tc>
          <w:tcPr>
            <w:tcW w:w="592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Consent of Ernst &amp; Young LLP, an Independent Registered Public Accounting Firm</w:t>
            </w:r>
          </w:p>
        </w:tc>
        <w:tc>
          <w:tcPr>
            <w:tcW w:w="1620" w:type="dxa"/>
            <w:vAlign w:val="bottom"/>
            <w:gridSpan w:val="2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31.1</w:t>
            </w:r>
          </w:p>
        </w:tc>
        <w:tc>
          <w:tcPr>
            <w:tcW w:w="7540" w:type="dxa"/>
            <w:vAlign w:val="bottom"/>
            <w:gridSpan w:val="40"/>
          </w:tcPr>
          <w:p>
            <w:pPr>
              <w:spacing w:after="0"/>
              <w:rPr>
                <w:sz w:val="20"/>
                <w:szCs w:val="20"/>
                <w:color w:val="auto"/>
              </w:rPr>
            </w:pPr>
            <w:r>
              <w:rPr>
                <w:rFonts w:ascii="Arial" w:cs="Arial" w:eastAsia="Arial" w:hAnsi="Arial"/>
                <w:sz w:val="16"/>
                <w:szCs w:val="16"/>
                <w:color w:val="0000EE"/>
              </w:rPr>
              <w:t>Rule 13a-14(a)/15d-14(a) certification of Principal Executive Officer</w:t>
            </w: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31.2</w:t>
            </w:r>
          </w:p>
        </w:tc>
        <w:tc>
          <w:tcPr>
            <w:tcW w:w="476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6"/>
                <w:szCs w:val="16"/>
                <w:color w:val="0000EE"/>
              </w:rPr>
              <w:t>Rule 13a-14(a)/15d-14(a) certification of Principal Financial Officer</w:t>
            </w:r>
          </w:p>
        </w:tc>
        <w:tc>
          <w:tcPr>
            <w:tcW w:w="40" w:type="dxa"/>
            <w:vAlign w:val="bottom"/>
            <w:tcBorders>
              <w:top w:val="single" w:sz="8" w:color="0000EE"/>
            </w:tcBorders>
          </w:tcPr>
          <w:p>
            <w:pPr>
              <w:spacing w:after="0"/>
              <w:rPr>
                <w:sz w:val="20"/>
                <w:szCs w:val="20"/>
                <w:color w:val="auto"/>
              </w:rPr>
            </w:pPr>
          </w:p>
        </w:tc>
        <w:tc>
          <w:tcPr>
            <w:tcW w:w="2740" w:type="dxa"/>
            <w:vAlign w:val="bottom"/>
            <w:gridSpan w:val="28"/>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6"/>
              </w:rPr>
              <w:t>32.1</w:t>
            </w:r>
          </w:p>
        </w:tc>
        <w:tc>
          <w:tcPr>
            <w:tcW w:w="7540" w:type="dxa"/>
            <w:vAlign w:val="bottom"/>
            <w:gridSpan w:val="40"/>
          </w:tcPr>
          <w:p>
            <w:pPr>
              <w:spacing w:after="0"/>
              <w:rPr>
                <w:sz w:val="20"/>
                <w:szCs w:val="20"/>
                <w:color w:val="auto"/>
              </w:rPr>
            </w:pPr>
            <w:r>
              <w:rPr>
                <w:rFonts w:ascii="Arial" w:cs="Arial" w:eastAsia="Arial" w:hAnsi="Arial"/>
                <w:sz w:val="16"/>
                <w:szCs w:val="16"/>
                <w:color w:val="0000EE"/>
              </w:rPr>
              <w:t>Certification of Chief Executive Officer pursuant to 18 U.S.C. Section 1350 certification, as adopted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240" w:type="dxa"/>
            <w:vAlign w:val="bottom"/>
            <w:tcBorders>
              <w:top w:val="single" w:sz="8" w:color="0000EE"/>
              <w:bottom w:val="single" w:sz="8" w:color="0000EE"/>
            </w:tcBorders>
            <w:gridSpan w:val="10"/>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2860" w:type="dxa"/>
            <w:vAlign w:val="bottom"/>
            <w:tcBorders>
              <w:top w:val="single" w:sz="8" w:color="0000EE"/>
            </w:tcBorders>
            <w:gridSpan w:val="10"/>
          </w:tcPr>
          <w:p>
            <w:pPr>
              <w:spacing w:after="0"/>
              <w:rPr>
                <w:sz w:val="14"/>
                <w:szCs w:val="14"/>
                <w:color w:val="auto"/>
              </w:rPr>
            </w:pPr>
          </w:p>
        </w:tc>
        <w:tc>
          <w:tcPr>
            <w:tcW w:w="44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32.2</w:t>
            </w:r>
          </w:p>
        </w:tc>
        <w:tc>
          <w:tcPr>
            <w:tcW w:w="72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Certification of Principal Financial Officer pursuant to 18 U.S.C. Section 1350 certification, as adopted</w:t>
            </w:r>
          </w:p>
        </w:tc>
      </w:tr>
      <w:tr>
        <w:trPr>
          <w:trHeight w:val="169"/>
        </w:trPr>
        <w:tc>
          <w:tcPr>
            <w:tcW w:w="1140" w:type="dxa"/>
            <w:vAlign w:val="bottom"/>
          </w:tcPr>
          <w:p>
            <w:pPr>
              <w:spacing w:after="0"/>
              <w:rPr>
                <w:sz w:val="14"/>
                <w:szCs w:val="14"/>
                <w:color w:val="auto"/>
              </w:rPr>
            </w:pPr>
          </w:p>
        </w:tc>
        <w:tc>
          <w:tcPr>
            <w:tcW w:w="424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3020" w:type="dxa"/>
            <w:vAlign w:val="bottom"/>
          </w:tcPr>
          <w:p>
            <w:pPr>
              <w:spacing w:after="0"/>
              <w:rPr>
                <w:sz w:val="14"/>
                <w:szCs w:val="14"/>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97.1</w:t>
            </w:r>
          </w:p>
        </w:tc>
        <w:tc>
          <w:tcPr>
            <w:tcW w:w="42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rPr>
              <w:t>Century Therapeutics, Inc. Compensation Recovery Policy</w:t>
            </w:r>
          </w:p>
        </w:tc>
        <w:tc>
          <w:tcPr>
            <w:tcW w:w="3060" w:type="dxa"/>
            <w:vAlign w:val="bottom"/>
            <w:gridSpan w:val="2"/>
          </w:tcPr>
          <w:p>
            <w:pPr>
              <w:spacing w:after="0"/>
              <w:rPr>
                <w:sz w:val="20"/>
                <w:szCs w:val="20"/>
                <w:color w:val="auto"/>
              </w:rPr>
            </w:pPr>
          </w:p>
        </w:tc>
      </w:tr>
      <w:tr>
        <w:trPr>
          <w:trHeight w:val="275"/>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INS</w:t>
            </w:r>
          </w:p>
        </w:tc>
        <w:tc>
          <w:tcPr>
            <w:tcW w:w="7260" w:type="dxa"/>
            <w:vAlign w:val="bottom"/>
            <w:gridSpan w:val="3"/>
          </w:tcPr>
          <w:p>
            <w:pPr>
              <w:spacing w:after="0"/>
              <w:rPr>
                <w:sz w:val="20"/>
                <w:szCs w:val="20"/>
                <w:color w:val="auto"/>
              </w:rPr>
            </w:pPr>
            <w:r>
              <w:rPr>
                <w:rFonts w:ascii="Arial" w:cs="Arial" w:eastAsia="Arial" w:hAnsi="Arial"/>
                <w:sz w:val="16"/>
                <w:szCs w:val="16"/>
                <w:color w:val="auto"/>
              </w:rPr>
              <w:t>Inline XBRL Instance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SCH</w:t>
            </w:r>
          </w:p>
        </w:tc>
        <w:tc>
          <w:tcPr>
            <w:tcW w:w="7260" w:type="dxa"/>
            <w:vAlign w:val="bottom"/>
            <w:gridSpan w:val="3"/>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101 CAL</w:t>
            </w:r>
          </w:p>
        </w:tc>
        <w:tc>
          <w:tcPr>
            <w:tcW w:w="7260" w:type="dxa"/>
            <w:vAlign w:val="bottom"/>
            <w:gridSpan w:val="3"/>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56"/>
        </w:trPr>
        <w:tc>
          <w:tcPr>
            <w:tcW w:w="1140" w:type="dxa"/>
            <w:vAlign w:val="bottom"/>
          </w:tcPr>
          <w:p>
            <w:pPr>
              <w:jc w:val="center"/>
              <w:ind w:right="419"/>
              <w:spacing w:after="0"/>
              <w:rPr>
                <w:sz w:val="20"/>
                <w:szCs w:val="20"/>
                <w:color w:val="auto"/>
              </w:rPr>
            </w:pPr>
            <w:r>
              <w:rPr>
                <w:rFonts w:ascii="Arial" w:cs="Arial" w:eastAsia="Arial" w:hAnsi="Arial"/>
                <w:sz w:val="16"/>
                <w:szCs w:val="16"/>
                <w:color w:val="auto"/>
              </w:rPr>
              <w:t>101 DEF</w:t>
            </w:r>
          </w:p>
        </w:tc>
        <w:tc>
          <w:tcPr>
            <w:tcW w:w="7260" w:type="dxa"/>
            <w:vAlign w:val="bottom"/>
            <w:gridSpan w:val="3"/>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LAB</w:t>
            </w:r>
          </w:p>
        </w:tc>
        <w:tc>
          <w:tcPr>
            <w:tcW w:w="7260" w:type="dxa"/>
            <w:vAlign w:val="bottom"/>
            <w:gridSpan w:val="3"/>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PRE</w:t>
            </w:r>
          </w:p>
        </w:tc>
        <w:tc>
          <w:tcPr>
            <w:tcW w:w="7260" w:type="dxa"/>
            <w:vAlign w:val="bottom"/>
            <w:gridSpan w:val="3"/>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42" w:lineRule="exact"/>
        <w:rPr>
          <w:sz w:val="20"/>
          <w:szCs w:val="20"/>
          <w:color w:val="auto"/>
        </w:rPr>
      </w:pPr>
    </w:p>
    <w:p>
      <w:pPr>
        <w:ind w:left="1400" w:hanging="946"/>
        <w:spacing w:after="0"/>
        <w:tabs>
          <w:tab w:leader="none" w:pos="14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88" w:lineRule="exact"/>
        <w:rPr>
          <w:rFonts w:ascii="Arial" w:cs="Arial" w:eastAsia="Arial" w:hAnsi="Arial"/>
          <w:sz w:val="16"/>
          <w:szCs w:val="16"/>
          <w:color w:val="auto"/>
        </w:rPr>
      </w:pPr>
    </w:p>
    <w:p>
      <w:pPr>
        <w:ind w:left="380" w:hanging="330"/>
        <w:spacing w:after="0"/>
        <w:tabs>
          <w:tab w:leader="none" w:pos="380" w:val="left"/>
        </w:tabs>
        <w:numPr>
          <w:ilvl w:val="0"/>
          <w:numId w:val="73"/>
        </w:numPr>
        <w:rPr>
          <w:rFonts w:ascii="Times New Roman" w:cs="Times New Roman" w:eastAsia="Times New Roman" w:hAnsi="Times New Roman"/>
          <w:sz w:val="16"/>
          <w:szCs w:val="16"/>
          <w:color w:val="231F20"/>
        </w:rPr>
      </w:pPr>
      <w:r>
        <w:rPr>
          <w:rFonts w:ascii="Arial" w:cs="Arial" w:eastAsia="Arial" w:hAnsi="Arial"/>
          <w:sz w:val="16"/>
          <w:szCs w:val="16"/>
          <w:color w:val="231F20"/>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-176530</wp:posOffset>
            </wp:positionV>
            <wp:extent cx="14141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9" w:lineRule="exact"/>
        <w:rPr>
          <w:sz w:val="20"/>
          <w:szCs w:val="20"/>
          <w:color w:val="auto"/>
        </w:rPr>
      </w:pPr>
    </w:p>
    <w:p>
      <w:pPr>
        <w:ind w:left="60" w:right="119" w:hanging="10"/>
        <w:spacing w:after="0" w:line="271"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 (i) the Company customarily and actually treats as private and confidential, and (ii) is not material.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Brent Pfeiffenberger, PharmD, MBA</w:t>
      </w:r>
    </w:p>
    <w:p>
      <w:pPr>
        <w:ind w:left="4840"/>
        <w:spacing w:after="0"/>
        <w:rPr>
          <w:sz w:val="20"/>
          <w:szCs w:val="20"/>
          <w:color w:val="auto"/>
        </w:rPr>
      </w:pPr>
      <w:r>
        <w:rPr>
          <w:rFonts w:ascii="Arial" w:cs="Arial" w:eastAsia="Arial" w:hAnsi="Arial"/>
          <w:sz w:val="18"/>
          <w:szCs w:val="18"/>
          <w:i w:val="1"/>
          <w:iCs w:val="1"/>
          <w:color w:val="auto"/>
        </w:rPr>
        <w:t>Chief Executive Officer</w:t>
      </w:r>
    </w:p>
    <w:p>
      <w:pPr>
        <w:spacing w:after="0" w:line="18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Brent Pfeiffenberger, PharmD,</w:t>
      </w:r>
    </w:p>
    <w:p>
      <w:pPr>
        <w:jc w:val="center"/>
        <w:ind w:left="100"/>
        <w:spacing w:after="0"/>
        <w:rPr>
          <w:sz w:val="20"/>
          <w:szCs w:val="20"/>
          <w:color w:val="auto"/>
        </w:rPr>
      </w:pPr>
      <w:r>
        <w:rPr>
          <w:rFonts w:ascii="Arial" w:cs="Arial" w:eastAsia="Arial" w:hAnsi="Arial"/>
          <w:sz w:val="18"/>
          <w:szCs w:val="18"/>
          <w:color w:val="auto"/>
        </w:rPr>
        <w:t>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jc w:val="center"/>
        <w:ind w:left="100"/>
        <w:spacing w:after="0"/>
        <w:rPr>
          <w:sz w:val="20"/>
          <w:szCs w:val="20"/>
          <w:color w:val="auto"/>
        </w:rPr>
      </w:pPr>
      <w:r>
        <w:rPr>
          <w:rFonts w:ascii="Arial" w:cs="Arial" w:eastAsia="Arial" w:hAnsi="Arial"/>
          <w:sz w:val="17"/>
          <w:szCs w:val="17"/>
          <w:color w:val="auto"/>
        </w:rPr>
        <w:t>Brent Pfeiffenberger, PharmD, MBA</w:t>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Douglas Carr</w:t>
      </w:r>
    </w:p>
    <w:p>
      <w:pPr>
        <w:spacing w:after="0" w:line="32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Kimberly Blackwell, M.D.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Cynthia Butitta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Cynthia Butitta</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Joseph Jimenez</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Alessandro Riva, M.D.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Carlo Rizzuto,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Carlo Rizzuto, Ph.D.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Timothy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Timothy Walbert</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8890</wp:posOffset>
            </wp:positionV>
            <wp:extent cx="22885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Executive Officer and Director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302" w:lineRule="exact"/>
        <w:rPr>
          <w:sz w:val="20"/>
          <w:szCs w:val="20"/>
          <w:color w:val="auto"/>
        </w:rPr>
      </w:pPr>
    </w:p>
    <w:p>
      <w:pPr>
        <w:jc w:val="center"/>
        <w:ind w:right="100"/>
        <w:spacing w:after="0" w:line="253" w:lineRule="auto"/>
        <w:rPr>
          <w:sz w:val="20"/>
          <w:szCs w:val="20"/>
          <w:color w:val="auto"/>
        </w:rPr>
      </w:pPr>
      <w:r>
        <w:rPr>
          <w:rFonts w:ascii="Arial" w:cs="Arial" w:eastAsia="Arial" w:hAnsi="Arial"/>
          <w:sz w:val="18"/>
          <w:szCs w:val="18"/>
          <w:color w:val="auto"/>
        </w:rPr>
        <w:t>Interim Principal Financial Officer (principal financial officer and principal accounting officer)</w:t>
      </w: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 Chairman of the Board</w:t>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8890</wp:posOffset>
            </wp:positionV>
            <wp:extent cx="12001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325" w:lineRule="exact"/>
        <w:rPr>
          <w:sz w:val="20"/>
          <w:szCs w:val="20"/>
          <w:color w:val="auto"/>
        </w:rPr>
      </w:pPr>
    </w:p>
    <w:p>
      <w:pPr>
        <w:sectPr>
          <w:pgSz w:w="11900" w:h="16838" w:orient="portrait"/>
          <w:cols w:equalWidth="0" w:num="3">
            <w:col w:w="2960" w:space="540"/>
            <w:col w:w="3160" w:space="720"/>
            <w:col w:w="163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0" w:name="page211"/>
    <w:bookmarkEnd w:id="21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03" w:lineRule="exact"/>
        <w:rPr>
          <w:sz w:val="20"/>
          <w:szCs w:val="20"/>
          <w:color w:val="auto"/>
        </w:rPr>
      </w:pPr>
    </w:p>
    <w:p>
      <w:pPr>
        <w:jc w:val="both"/>
        <w:ind w:left="200" w:right="239" w:firstLine="648"/>
        <w:spacing w:after="0" w:line="268" w:lineRule="auto"/>
        <w:rPr>
          <w:sz w:val="20"/>
          <w:szCs w:val="20"/>
          <w:color w:val="auto"/>
        </w:rPr>
      </w:pPr>
      <w:r>
        <w:rPr>
          <w:rFonts w:ascii="Times New Roman" w:cs="Times New Roman" w:eastAsia="Times New Roman" w:hAnsi="Times New Roman"/>
          <w:sz w:val="18"/>
          <w:szCs w:val="18"/>
          <w:color w:val="auto"/>
        </w:rPr>
        <w:t>This Executive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November 7, 2023, is made and entered into by and between CENTURY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Brent Pfeiffenberger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will become effective on December 4,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WHEREAS, the Company desires to employ Executive on the terms and conditions set forth herein; and</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WHEREAS, Executive desires to be employed by the Company on such terms and conditions.</w:t>
      </w:r>
    </w:p>
    <w:p>
      <w:pPr>
        <w:spacing w:after="0" w:line="225"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intending to be legally bound hereby, the parties agree as follows:</w:t>
      </w:r>
    </w:p>
    <w:p>
      <w:pPr>
        <w:spacing w:after="0" w:line="158" w:lineRule="exact"/>
        <w:rPr>
          <w:sz w:val="20"/>
          <w:szCs w:val="20"/>
          <w:color w:val="auto"/>
        </w:rPr>
      </w:pPr>
    </w:p>
    <w:p>
      <w:pPr>
        <w:jc w:val="both"/>
        <w:ind w:left="200" w:right="219" w:firstLine="9"/>
        <w:spacing w:after="0" w:line="253" w:lineRule="auto"/>
        <w:tabs>
          <w:tab w:leader="none" w:pos="8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color w:val="auto"/>
        </w:rPr>
        <w:t>. Executive will serve as the Chief Executive Officer of the Company, reporting directly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In addition to performing the duties and responsibilities associated with that position, from time to time the Company may assign to Executive other duties and responsibilities reasonable and consistent with such position. Executive agrees to devote substantially all his business time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(i) engage in charitable or public service and (ii) manage his personal affairs and investments, so long as such activities do not interfere with the performance of his duties and obligations to the Company. The Company also expects that Executive will continue to serve, without the receipt of any additional compensation, as a member of the Board while employed as the Chief Executive Officer of the Company, subject to re-election by the Company’s stockholders from time to time. The Company will use commercially reasonable efforts to nominate Executive for election to a seat on the Board for as long as Executive continues to serve as Chief Executive Officer, provided that the failure of the Company’s stockholders to re-elect Executive will not be construed as a termination by Executive for “Good Reason” under </w:t>
      </w:r>
      <w:r>
        <w:rPr>
          <w:rFonts w:ascii="Times New Roman" w:cs="Times New Roman" w:eastAsia="Times New Roman" w:hAnsi="Times New Roman"/>
          <w:sz w:val="18"/>
          <w:szCs w:val="18"/>
          <w:u w:val="single" w:color="auto"/>
          <w:color w:val="auto"/>
        </w:rPr>
        <w:t>Section 13(e)(i)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200" w:right="239"/>
        <w:spacing w:after="0" w:line="28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xml:space="preserve">. Executive’s employment pursuant to this Agreement will commence on the Effective Date and will continue until terminated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Place of Performance</w:t>
      </w:r>
      <w:r>
        <w:rPr>
          <w:rFonts w:ascii="Times New Roman" w:cs="Times New Roman" w:eastAsia="Times New Roman" w:hAnsi="Times New Roman"/>
          <w:sz w:val="18"/>
          <w:szCs w:val="18"/>
          <w:color w:val="auto"/>
        </w:rPr>
        <w:t>. Executive will perform services hereunder at the principal executive offices of the Company in Philadelphia, Pennsylvania; provided, however, that Executive (i) may be required to travel from time to time for business purposes; (ii) it is agreed and understood that Executive will be commuting between the Company’s principal offices and California through June 2024; and (iii) Executive may occasionally work remotely consistent with the needs of the Company.</w:t>
      </w:r>
    </w:p>
    <w:p>
      <w:pPr>
        <w:spacing w:after="0" w:line="179"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color w:val="auto"/>
        </w:rPr>
        <w:t>. This is a full-time exempt position. The Company will pay Executive a salary at an annual rate of $625,000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payable in accordance with the Company’s standard payroll schedule and subject to applicable deductions and withholdings. The Base Salary shall be reviewed on an annual basis by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and may be evaluated for increase but not decrease from time to time by the Committee.</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Bonuses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200" w:right="219" w:firstLine="657"/>
        <w:spacing w:after="0" w:line="250" w:lineRule="auto"/>
        <w:tabs>
          <w:tab w:leader="none" w:pos="14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The Company will provide Executive with a one-time special signing bonus of $200,000, subject to applicable deductions and withholdings, which will be paid in a lump sum cash payment no later than thirty (30) days after his employment commencement date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200" w:right="219" w:firstLine="657"/>
        <w:spacing w:after="0" w:line="252" w:lineRule="auto"/>
        <w:tabs>
          <w:tab w:leader="none" w:pos="14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For each calendar year ending during his employment, Executive will have the opportunity to earn an annual bonus with a target amount of 55% of the Base Salary in effect at the end of the applicable year (the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11" w:name="page212"/>
    <w:bookmarkEnd w:id="211"/>
    <w:p>
      <w:pPr>
        <w:jc w:val="both"/>
        <w:ind w:left="200" w:right="219"/>
        <w:spacing w:after="0" w:line="257" w:lineRule="auto"/>
        <w:rPr>
          <w:sz w:val="20"/>
          <w:szCs w:val="20"/>
          <w:color w:val="auto"/>
        </w:rPr>
      </w:pPr>
      <w:r>
        <w:rPr>
          <w:rFonts w:ascii="Times New Roman" w:cs="Times New Roman" w:eastAsia="Times New Roman" w:hAnsi="Times New Roman"/>
          <w:sz w:val="18"/>
          <w:szCs w:val="18"/>
          <w:color w:val="auto"/>
        </w:rPr>
        <w:t>service through the date that annual bonuses are paid to the Company’s executive officers generally with respect to the applicable year. Any 2023 bonus will be determined by the Board and will be pro-rated based on the portion of 2023 that Executive is employed.</w:t>
      </w:r>
    </w:p>
    <w:p>
      <w:pPr>
        <w:spacing w:after="0" w:line="1" w:lineRule="exact"/>
        <w:rPr>
          <w:sz w:val="20"/>
          <w:szCs w:val="20"/>
          <w:color w:val="auto"/>
        </w:rPr>
      </w:pPr>
    </w:p>
    <w:p>
      <w:pPr>
        <w:jc w:val="both"/>
        <w:ind w:left="200" w:right="219" w:firstLine="657"/>
        <w:spacing w:after="0" w:line="252" w:lineRule="auto"/>
        <w:tabs>
          <w:tab w:leader="none" w:pos="14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 Executive shall receive a one-time retention bonus in an amount equal to $450,000, payable in cash, less all applicable withholdings no later than thirty (30) days after the Effective Date (the “</w:t>
      </w: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 If Executive’s employment with the Company terminates for any reason, other than due to Executive’s death or Disability, Executive’s resignation with Good Reason or by the Company without Cause, (such other reasons, a “Qualifying Termination”), in each case, prior to the one year anniversary of the Effective Date, Executive will repay the Retention Bonus to the Company in full; provided, further, however, that this provision shall be inapplicable on and after a Change in Control of the Company.</w:t>
      </w:r>
    </w:p>
    <w:p>
      <w:pPr>
        <w:spacing w:after="0" w:line="18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18"/>
          <w:szCs w:val="18"/>
          <w:color w:val="auto"/>
        </w:rPr>
        <w:t>6.   </w:t>
      </w:r>
      <w:r>
        <w:rPr>
          <w:sz w:val="20"/>
          <w:szCs w:val="20"/>
          <w:color w:val="auto"/>
        </w:rPr>
        <w:tab/>
      </w:r>
      <w:r>
        <w:rPr>
          <w:rFonts w:ascii="Times New Roman" w:cs="Times New Roman" w:eastAsia="Times New Roman" w:hAnsi="Times New Roman"/>
          <w:sz w:val="18"/>
          <w:szCs w:val="18"/>
          <w:b w:val="1"/>
          <w:bCs w:val="1"/>
          <w:u w:val="single" w:color="auto"/>
          <w:color w:val="auto"/>
        </w:rPr>
        <w:t>Relocation</w:t>
      </w:r>
      <w:r>
        <w:rPr>
          <w:rFonts w:ascii="Times New Roman" w:cs="Times New Roman" w:eastAsia="Times New Roman" w:hAnsi="Times New Roman"/>
          <w:sz w:val="18"/>
          <w:szCs w:val="18"/>
          <w:color w:val="auto"/>
        </w:rPr>
        <w:t>. The Company will reimburse Executive for reasonable and documented expenses incurred in</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connection with Executive’s relocation to the Philadelphia, Pennsylvania area in an amount up to $150,000, together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a full tax gross-up for any such amount that is taxable to Executive, provided that in the event his employment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the Company terminates for any reason other than a Qualifying Termination prior to the first anniversary of the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Start Date, Executive will repay the gross amount of any relocation expenses for which he previously received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reimbursement by the Company, provided, further, however, that this provision shall be inapplicable on and after 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 in Control of the Company.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00" w:right="219"/>
        <w:spacing w:after="0" w:line="237" w:lineRule="auto"/>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Equity Incentives</w:t>
      </w:r>
      <w:r>
        <w:rPr>
          <w:rFonts w:ascii="Times New Roman" w:cs="Times New Roman" w:eastAsia="Times New Roman" w:hAnsi="Times New Roman"/>
          <w:sz w:val="17"/>
          <w:szCs w:val="17"/>
          <w:color w:val="auto"/>
        </w:rPr>
        <w:t>. As soon as practicable after the Effective Date, and subject to Board approval, the Company will recommend to the Board that Executive receive a one-time equity grant consisting of a mix of 1,173,775 restricted stock units (the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25"/>
          <w:szCs w:val="25"/>
          <w:b w:val="1"/>
          <w:bCs w:val="1"/>
          <w:color w:val="auto"/>
          <w:vertAlign w:val="superscript"/>
        </w:rPr>
        <w:t>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RSU Award</w:t>
      </w:r>
      <w:r>
        <w:rPr>
          <w:rFonts w:ascii="Times New Roman" w:cs="Times New Roman" w:eastAsia="Times New Roman" w:hAnsi="Times New Roman"/>
          <w:sz w:val="17"/>
          <w:szCs w:val="17"/>
          <w:color w:val="auto"/>
        </w:rPr>
        <w:t>”) and 573,691 options to acquire shares of the Company’s common stock (the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The parties intend that the Option is intended to qualify as an incentive stock option (within the meaning of Section 422 of the Internal Revenue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to the maximum extent permitted by applicable tax laws. The Option will have an exercise price equal to the fair market value of the Company’s common stock on the grant date. Except as otherwise provided herein, subject to Executive’s continuous employment or service through each vesting date,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RSU Award will vest as follows: (i) 25% on the first anniversary of the later of the applicable award grant date and the Start Date (the “</w:t>
      </w:r>
      <w:r>
        <w:rPr>
          <w:rFonts w:ascii="Times New Roman" w:cs="Times New Roman" w:eastAsia="Times New Roman" w:hAnsi="Times New Roman"/>
          <w:sz w:val="17"/>
          <w:szCs w:val="17"/>
          <w:b w:val="1"/>
          <w:bCs w:val="1"/>
          <w:color w:val="auto"/>
        </w:rPr>
        <w:t>Initial Vesting Date</w:t>
      </w:r>
      <w:r>
        <w:rPr>
          <w:rFonts w:ascii="Times New Roman" w:cs="Times New Roman" w:eastAsia="Times New Roman" w:hAnsi="Times New Roman"/>
          <w:sz w:val="17"/>
          <w:szCs w:val="17"/>
          <w:color w:val="auto"/>
        </w:rPr>
        <w:t>”), and (ii) the remaining 75% will vest in one twelfth (1/12th) increments on each of the first trading days on or after each of February 15, May 15, August 15, and November 15, until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RSU Award is fully vested. Except as otherwise provided herein, subject to Executive’s continuous employment or service through each vesting date, the Option will vest and become exercisable, as follows:</w:t>
      </w:r>
    </w:p>
    <w:p>
      <w:pPr>
        <w:spacing w:after="0" w:line="3" w:lineRule="exact"/>
        <w:rPr>
          <w:sz w:val="20"/>
          <w:szCs w:val="20"/>
          <w:color w:val="auto"/>
        </w:rPr>
      </w:pPr>
    </w:p>
    <w:p>
      <w:pPr>
        <w:jc w:val="both"/>
        <w:ind w:left="200" w:right="219" w:firstLine="9"/>
        <w:spacing w:after="0" w:line="230" w:lineRule="auto"/>
        <w:tabs>
          <w:tab w:leader="none" w:pos="42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the first anniversary of the later of the applicable award grant date and the Start Date (the “</w:t>
      </w:r>
      <w:r>
        <w:rPr>
          <w:rFonts w:ascii="Times New Roman" w:cs="Times New Roman" w:eastAsia="Times New Roman" w:hAnsi="Times New Roman"/>
          <w:sz w:val="18"/>
          <w:szCs w:val="18"/>
          <w:b w:val="1"/>
          <w:bCs w:val="1"/>
          <w:color w:val="auto"/>
        </w:rPr>
        <w:t>Initial 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(ii) the remainder will vest in equal monthly installments over the next 36 months beginning one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Initial Vesting Date. Additionally, as soon as practical after the Effective Date, Executive shall receive a grant of restricted stock units with a value of at least $450,000 (the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and, together with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RSU Award,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RSU Award will vest on the first anniversary of the later of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RSU Award grant date and the Start Date. Except as otherwise provided herein, Executive’s eligibility for and other rights with respect to the Option and RSUs will be governed by the 2021 Equity Incentive Plan and the associated equity grant agreements required to be entered into by Executive and the Company (the “</w:t>
      </w:r>
      <w:r>
        <w:rPr>
          <w:rFonts w:ascii="Times New Roman" w:cs="Times New Roman" w:eastAsia="Times New Roman" w:hAnsi="Times New Roman"/>
          <w:sz w:val="18"/>
          <w:szCs w:val="18"/>
          <w:b w:val="1"/>
          <w:bCs w:val="1"/>
          <w:color w:val="auto"/>
        </w:rPr>
        <w:t>Equity Documents</w:t>
      </w:r>
      <w:r>
        <w:rPr>
          <w:rFonts w:ascii="Times New Roman" w:cs="Times New Roman" w:eastAsia="Times New Roman" w:hAnsi="Times New Roman"/>
          <w:sz w:val="18"/>
          <w:szCs w:val="18"/>
          <w:color w:val="auto"/>
        </w:rPr>
        <w:t>”), which will contain additional terms and conditions (not inconsistent with this Agreement). To the extent this Agreement conflicts with the Equity Documents, the Equity Documents will control.</w:t>
      </w:r>
    </w:p>
    <w:p>
      <w:pPr>
        <w:spacing w:after="0" w:line="194" w:lineRule="exact"/>
        <w:rPr>
          <w:sz w:val="20"/>
          <w:szCs w:val="20"/>
          <w:color w:val="auto"/>
        </w:rPr>
      </w:pPr>
    </w:p>
    <w:p>
      <w:pPr>
        <w:jc w:val="both"/>
        <w:ind w:left="200" w:right="219"/>
        <w:spacing w:after="0" w:line="268" w:lineRule="auto"/>
        <w:rPr>
          <w:sz w:val="20"/>
          <w:szCs w:val="20"/>
          <w:color w:val="auto"/>
        </w:rPr>
      </w:pPr>
      <w:r>
        <w:rPr>
          <w:rFonts w:ascii="Times New Roman" w:cs="Times New Roman" w:eastAsia="Times New Roman" w:hAnsi="Times New Roman"/>
          <w:sz w:val="18"/>
          <w:szCs w:val="18"/>
          <w:color w:val="auto"/>
        </w:rPr>
        <w:t>With respect to any Company long-term incentive grant that may be awarded in 2024 (a “</w:t>
      </w:r>
      <w:r>
        <w:rPr>
          <w:rFonts w:ascii="Times New Roman" w:cs="Times New Roman" w:eastAsia="Times New Roman" w:hAnsi="Times New Roman"/>
          <w:sz w:val="18"/>
          <w:szCs w:val="18"/>
          <w:b w:val="1"/>
          <w:bCs w:val="1"/>
          <w:color w:val="auto"/>
        </w:rPr>
        <w:t>2024 LTI Grant”</w:t>
      </w:r>
      <w:r>
        <w:rPr>
          <w:rFonts w:ascii="Times New Roman" w:cs="Times New Roman" w:eastAsia="Times New Roman" w:hAnsi="Times New Roman"/>
          <w:sz w:val="18"/>
          <w:szCs w:val="18"/>
          <w:color w:val="auto"/>
        </w:rPr>
        <w:t>), subject to Board approval, Executive will be eligible to participate in such 2024 LTI Grant on the basis of a 25% proration of the amount otherwise allocable to Executive for the 2024 year, unless otherwise determined by the Board.</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Benefits; Business Expenses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(a)            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(b)            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2" w:name="page213"/>
    <w:bookmarkEnd w:id="212"/>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(a)            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(b)            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2"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Upon any cessation of Executive’s employment with the Company, Executive will be entitled only to such compensation and benefits as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w:t>
      </w:r>
    </w:p>
    <w:p>
      <w:pPr>
        <w:spacing w:after="0" w:line="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(d)            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personal and other professional obligations. The Company shall reimburse Executive for any reasonable out-of-pocket expenses incurred by Executive in connection with such cooperation.</w:t>
      </w:r>
    </w:p>
    <w:p>
      <w:pPr>
        <w:spacing w:after="0" w:line="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(e)            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 Upon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without Cause or Resignation for Good Reason</w:t>
      </w:r>
      <w:r>
        <w:rPr>
          <w:rFonts w:ascii="Times New Roman" w:cs="Times New Roman" w:eastAsia="Times New Roman" w:hAnsi="Times New Roman"/>
          <w:sz w:val="18"/>
          <w:szCs w:val="18"/>
          <w:color w:val="auto"/>
        </w:rPr>
        <w:t>. If Executive’s employment by the Company ceases due to a termination by the Company without Cause (as defined below) or a resignation by Executive for Good Reason (as defined below):</w:t>
      </w:r>
    </w:p>
    <w:p>
      <w:pPr>
        <w:ind w:left="200" w:right="259" w:firstLine="1296"/>
        <w:spacing w:after="0" w:line="250" w:lineRule="auto"/>
        <w:rPr>
          <w:sz w:val="20"/>
          <w:szCs w:val="20"/>
          <w:color w:val="auto"/>
        </w:rPr>
      </w:pPr>
      <w:r>
        <w:rPr>
          <w:rFonts w:ascii="Times New Roman" w:cs="Times New Roman" w:eastAsia="Times New Roman" w:hAnsi="Times New Roman"/>
          <w:sz w:val="18"/>
          <w:szCs w:val="18"/>
          <w:color w:val="auto"/>
        </w:rPr>
        <w:t>(i)            the Company shall pay to Executive all accrued and unpaid Base Salary through the date of such cessation of employment at the time such Base Salary would otherwise be paid according to the Company’s usual payroll practices, and any accrued but unpaid vacation time or paid time off (PTO) (if applicable);</w:t>
      </w:r>
    </w:p>
    <w:p>
      <w:pPr>
        <w:spacing w:after="0" w:line="1"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18"/>
          <w:szCs w:val="18"/>
          <w:color w:val="auto"/>
        </w:rPr>
        <w:t>(ii)          to the extent then unpaid, the Company shall pay to Executive (x) the annual bonus (if any) earned with respect to the fiscal year ended immediately prior to the cessation of Executive’s employment and (y) an amount equal to the pro-rated Target Bonus for the year of termination, based on his actual period of service during such year;</w:t>
      </w:r>
    </w:p>
    <w:p>
      <w:pPr>
        <w:spacing w:after="0" w:line="2"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18"/>
          <w:szCs w:val="18"/>
          <w:color w:val="auto"/>
        </w:rPr>
        <w:t>(iii)           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qualifying event) for a period equal to the Severance Period;</w:t>
      </w:r>
    </w:p>
    <w:p>
      <w:pPr>
        <w:spacing w:after="0" w:line="2"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18"/>
          <w:szCs w:val="18"/>
          <w:color w:val="auto"/>
        </w:rPr>
        <w:t>(iv)       if Executive validly elects to receive continuation coverage under the Company’s group health plan (if any) pursuant to the Consolidated Omnibus Budget Reconciliation Act of 1985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           to the extent such cessation of employment occurs within three (3) months prior to or twelve</w:t>
      </w:r>
    </w:p>
    <w:p>
      <w:pPr>
        <w:spacing w:after="0" w:line="9" w:lineRule="exact"/>
        <w:rPr>
          <w:sz w:val="20"/>
          <w:szCs w:val="20"/>
          <w:color w:val="auto"/>
        </w:rPr>
      </w:pPr>
    </w:p>
    <w:p>
      <w:pPr>
        <w:jc w:val="both"/>
        <w:ind w:left="200" w:right="219" w:firstLine="9"/>
        <w:spacing w:after="0" w:line="253" w:lineRule="auto"/>
        <w:tabs>
          <w:tab w:leader="none" w:pos="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Change in Control (as defined below), (x) the Company shall pay to Executive an amount equal to the Target Bonus for the calendar year in which the termination occurs,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611505</wp:posOffset>
            </wp:positionV>
            <wp:extent cx="545211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3" w:name="page214"/>
    <w:bookmarkEnd w:id="213"/>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are in lieu of, and not in addition to, any other severance arrangement maintained by the Company. Notwithstanding any provision of this Agreement, the payments and benefits described in </w:t>
      </w:r>
      <w:r>
        <w:rPr>
          <w:rFonts w:ascii="Times New Roman" w:cs="Times New Roman" w:eastAsia="Times New Roman" w:hAnsi="Times New Roman"/>
          <w:sz w:val="18"/>
          <w:szCs w:val="18"/>
          <w:u w:val="single" w:color="auto"/>
          <w:color w:val="auto"/>
        </w:rPr>
        <w:t>Section 10(a)(ii)- 10(a)(v)</w:t>
      </w:r>
      <w:r>
        <w:rPr>
          <w:rFonts w:ascii="Times New Roman" w:cs="Times New Roman" w:eastAsia="Times New Roman" w:hAnsi="Times New Roman"/>
          <w:sz w:val="18"/>
          <w:szCs w:val="18"/>
          <w:color w:val="auto"/>
        </w:rPr>
        <w:t xml:space="preserve"> are conditioned on Executive’s execution and delivery to the Company and the expiration of all applicable statutory revocation periods, by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and on Executive’s continued compliance with the provisions of the Proprietary Information and Assignment Agreement (defined below).</w:t>
      </w:r>
    </w:p>
    <w:p>
      <w:pPr>
        <w:spacing w:after="0" w:line="190"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(to the extent applicable) and provided the Release requirement described above has been timely satisfied: (x) the payment described in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will be paid on the later of the sixty-fifth (65</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day following Executive’s cessation of employment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or the date such annual bonus would have otherwise been paid, absent Executive’s cessation of employment; provided, however, with respect to any amount payable in respect of the pro-rated Target Bonus for the year of termination, such amount shall be paid on the Settlement Date; (y) the payments described in </w:t>
      </w:r>
      <w:r>
        <w:rPr>
          <w:rFonts w:ascii="Times New Roman" w:cs="Times New Roman" w:eastAsia="Times New Roman" w:hAnsi="Times New Roman"/>
          <w:sz w:val="18"/>
          <w:szCs w:val="18"/>
          <w:u w:val="single" w:color="auto"/>
          <w:color w:val="auto"/>
        </w:rPr>
        <w:t>Section 10(a)(iii) and 10(a)(iv)</w:t>
      </w:r>
      <w:r>
        <w:rPr>
          <w:rFonts w:ascii="Times New Roman" w:cs="Times New Roman" w:eastAsia="Times New Roman" w:hAnsi="Times New Roman"/>
          <w:sz w:val="18"/>
          <w:szCs w:val="18"/>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will be paid on the later of the Settlement Date or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day following the Change in Control.</w:t>
      </w:r>
    </w:p>
    <w:p>
      <w:pPr>
        <w:spacing w:after="0" w:line="19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Other Terminations</w:t>
      </w:r>
      <w:r>
        <w:rPr>
          <w:rFonts w:ascii="Times New Roman" w:cs="Times New Roman" w:eastAsia="Times New Roman" w:hAnsi="Times New Roman"/>
          <w:sz w:val="18"/>
          <w:szCs w:val="18"/>
          <w:color w:val="auto"/>
        </w:rPr>
        <w:t xml:space="preserve">. If Executive’s employment with the Company ceases for any reason other than as described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above (including but not limited to (i) termination by the Company for Cause, (ii) resignation by Executive without Good Reason, (iii) termination as a result of Executive’s Disability, or (iv) Executive’s death), then the Company’s 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 or his continuing rights under this agreement, the equity or deferred compensation plans of the Company or under any applicable equity compensation plan of the Company.</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(a)            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this Agreement, no portion of the benefits or payments to be made under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and in the event of Executive’s death, all payments deferred as a result of the six-month wait will be paid as soon as practicable. For purposes of the application of Section 409A of the Code, each payment in a series of payments will be deemed a separate payment.</w:t>
      </w:r>
    </w:p>
    <w:p>
      <w:pPr>
        <w:spacing w:after="0" w:line="5"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18"/>
          <w:szCs w:val="18"/>
          <w:color w:val="auto"/>
        </w:rPr>
        <w:t>(c)            Notwithstanding anything in this Agreement to the contrary, to the extent an expense, reimbursement or in-kind benefit provided to Executive pursuant to this Agreement or otherwise constitutes a “deferral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469900</wp:posOffset>
            </wp:positionV>
            <wp:extent cx="545211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4" w:name="page215"/>
    <w:bookmarkEnd w:id="214"/>
    <w:p>
      <w:pPr>
        <w:jc w:val="both"/>
        <w:ind w:left="200" w:right="219"/>
        <w:spacing w:after="0" w:line="256" w:lineRule="auto"/>
        <w:rPr>
          <w:sz w:val="20"/>
          <w:szCs w:val="20"/>
          <w:color w:val="auto"/>
        </w:rPr>
      </w:pPr>
      <w:r>
        <w:rPr>
          <w:rFonts w:ascii="Times New Roman" w:cs="Times New Roman" w:eastAsia="Times New Roman" w:hAnsi="Times New Roman"/>
          <w:sz w:val="18"/>
          <w:szCs w:val="18"/>
          <w:color w:val="auto"/>
        </w:rPr>
        <w:t>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3"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Section 280G</w:t>
      </w:r>
      <w:r>
        <w:rPr>
          <w:rFonts w:ascii="Times New Roman" w:cs="Times New Roman" w:eastAsia="Times New Roman" w:hAnsi="Times New Roman"/>
          <w:sz w:val="18"/>
          <w:szCs w:val="18"/>
          <w:color w:val="auto"/>
        </w:rPr>
        <w:t>. Notwithstanding any contrary provision of this Agreement (or any plan, policy, agreement or other arrangement covering Executive), if any payment, right or benefit paid, provided or due to Executive, whether pursuant to this Agreement or otherwise (each, a “Payment,” and collectively, the “Total Payments”), would subject Executive to the excise tax 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For purposes of this Agreement:</w:t>
      </w:r>
    </w:p>
    <w:p>
      <w:pPr>
        <w:spacing w:after="0" w:line="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(i) conduct by Executive constituting a material act of misconduct in connection with the performance of Executive’s duties, including, without limitation, a material misappropriation of funds or property of the Company or any of its subsidiaries or affiliates; (ii) the conviction of Executive, or his plea of nolo contendere to,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illegal in the relevant state (other than prescription drugs taken in accordance with a physician’s prescription) that would reasonably be expected to result in material injury or reputational harm to the Company or any of its subsidiaries and affiliates; or (vii) failure to cooperate with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death or Disability will not entitle Executive to any severance payments or benefits under this Agreement. No act taken in good faith or on advice of Company counsel shall be deemed willful.</w:t>
      </w:r>
    </w:p>
    <w:p>
      <w:pPr>
        <w:spacing w:after="0" w:line="8" w:lineRule="exact"/>
        <w:rPr>
          <w:sz w:val="20"/>
          <w:szCs w:val="20"/>
          <w:color w:val="auto"/>
        </w:rPr>
      </w:pPr>
    </w:p>
    <w:p>
      <w:pPr>
        <w:jc w:val="both"/>
        <w:ind w:left="200" w:right="239"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the occurrence of a “change in control event” with respect to the Company, within the meaning of Treas. Reg. § 1.409A-3(i)(5)(i).</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9"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5" w:name="page216"/>
    <w:bookmarkEnd w:id="215"/>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(i) a material diminution in Executive’s title, responsibilities, authority or duties, provided that the failure of the Company’s stockholders to re-elect Executive to the Board will not be construed as a material diminution in Executive’s title, responsibilities, authority or duties; (ii) a material diminution in Executive’s Base Salary or Target Bonus;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 (y) such event is not reversed or corrected by the Company within 30 days of its receipt of such written objection, and (z) Executive separates from service within 60 days following the expiration of that cure period.</w:t>
      </w:r>
    </w:p>
    <w:p>
      <w:pPr>
        <w:spacing w:after="0" w:line="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Severance Period</w:t>
      </w:r>
      <w:r>
        <w:rPr>
          <w:rFonts w:ascii="Times New Roman" w:cs="Times New Roman" w:eastAsia="Times New Roman" w:hAnsi="Times New Roman"/>
          <w:sz w:val="18"/>
          <w:szCs w:val="18"/>
          <w:color w:val="auto"/>
        </w:rPr>
        <w:t>” means twelve (12)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eighteen (18) months.</w:t>
      </w:r>
    </w:p>
    <w:p>
      <w:pPr>
        <w:spacing w:after="0" w:line="185" w:lineRule="exact"/>
        <w:rPr>
          <w:sz w:val="20"/>
          <w:szCs w:val="20"/>
          <w:color w:val="auto"/>
        </w:rPr>
      </w:pPr>
    </w:p>
    <w:p>
      <w:pPr>
        <w:jc w:val="both"/>
        <w:ind w:left="200" w:right="239"/>
        <w:spacing w:after="0" w:line="26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Company Policies</w:t>
      </w:r>
      <w:r>
        <w:rPr>
          <w:rFonts w:ascii="Times New Roman" w:cs="Times New Roman" w:eastAsia="Times New Roman" w:hAnsi="Times New Roman"/>
          <w:sz w:val="18"/>
          <w:szCs w:val="18"/>
          <w:color w:val="auto"/>
        </w:rPr>
        <w:t>. Executive will comply with all policies of the Company in effect from time to time, including (without limitation) policies regarding ethics, personal conduct, stock ownership, securities trading, clawback and hedging and pledging of securities.</w:t>
      </w:r>
    </w:p>
    <w:p>
      <w:pPr>
        <w:spacing w:after="0" w:line="171"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In addition to any rights to indemnification to which Executive may be entitled under the Company’s governing documents, the Company shall obtain and maintain an appropriate level of Directors and Officers Liability insurance coverage for Executive’s benefit on the same terms as applicable to other directors and C-level executives of the Company. Executive shall be fully indemnified under such governing documents to the maximum extent permitted by law.</w:t>
      </w:r>
    </w:p>
    <w:p>
      <w:pPr>
        <w:spacing w:after="0" w:line="179" w:lineRule="exact"/>
        <w:rPr>
          <w:sz w:val="20"/>
          <w:szCs w:val="20"/>
          <w:color w:val="auto"/>
        </w:rPr>
      </w:pPr>
    </w:p>
    <w:p>
      <w:pPr>
        <w:jc w:val="both"/>
        <w:ind w:left="200" w:right="219"/>
        <w:spacing w:after="0" w:line="26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Proprietary Information and Assignment Agreement</w:t>
      </w:r>
      <w:r>
        <w:rPr>
          <w:rFonts w:ascii="Times New Roman" w:cs="Times New Roman" w:eastAsia="Times New Roman" w:hAnsi="Times New Roman"/>
          <w:sz w:val="18"/>
          <w:szCs w:val="18"/>
          <w:color w:val="auto"/>
        </w:rPr>
        <w:t>. On the same date this Agreement is executed, Executive will execute the Proprietary Information and Assignment Agreement, attached hereto as Exhibit A (the “</w:t>
      </w:r>
      <w:r>
        <w:rPr>
          <w:rFonts w:ascii="Times New Roman" w:cs="Times New Roman" w:eastAsia="Times New Roman" w:hAnsi="Times New Roman"/>
          <w:sz w:val="18"/>
          <w:szCs w:val="18"/>
          <w:b w:val="1"/>
          <w:bCs w:val="1"/>
          <w:color w:val="auto"/>
        </w:rPr>
        <w:t>Proprietary Information and Assignment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Conflicting Agreements</w:t>
      </w:r>
      <w:r>
        <w:rPr>
          <w:rFonts w:ascii="Times New Roman" w:cs="Times New Roman" w:eastAsia="Times New Roman" w:hAnsi="Times New Roman"/>
          <w:sz w:val="18"/>
          <w:szCs w:val="18"/>
          <w:color w:val="auto"/>
        </w:rPr>
        <w:t>. Executive represents and warrants that he is not a party to or otherwise bound by any agreement or restriction that could conflict with, or be violated by, the performance of his duties to the Company or his obligations under this Agreement. Executive will not use or misappropriate any intellectual property, trade secrets or confidential information belonging to any third party.</w:t>
      </w:r>
    </w:p>
    <w:p>
      <w:pPr>
        <w:spacing w:after="0" w:line="176" w:lineRule="exact"/>
        <w:rPr>
          <w:sz w:val="20"/>
          <w:szCs w:val="20"/>
          <w:color w:val="auto"/>
        </w:rPr>
      </w:pPr>
    </w:p>
    <w:p>
      <w:pPr>
        <w:ind w:left="200" w:right="239"/>
        <w:spacing w:after="0" w:line="26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All compensation payable to Executive are subject to reduction to reflect applicable withholding and payroll taxes 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Entire Agreement; Assignment; Amendment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(a)            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2" w:lineRule="exact"/>
        <w:rPr>
          <w:sz w:val="20"/>
          <w:szCs w:val="20"/>
          <w:color w:val="auto"/>
        </w:rPr>
      </w:pPr>
    </w:p>
    <w:p>
      <w:pPr>
        <w:jc w:val="both"/>
        <w:ind w:left="200" w:right="239" w:firstLine="648"/>
        <w:spacing w:after="0" w:line="250" w:lineRule="auto"/>
        <w:rPr>
          <w:sz w:val="20"/>
          <w:szCs w:val="20"/>
          <w:color w:val="auto"/>
        </w:rPr>
      </w:pPr>
      <w:r>
        <w:rPr>
          <w:rFonts w:ascii="Times New Roman" w:cs="Times New Roman" w:eastAsia="Times New Roman" w:hAnsi="Times New Roman"/>
          <w:sz w:val="18"/>
          <w:szCs w:val="18"/>
          <w:color w:val="auto"/>
        </w:rPr>
        <w:t>(b)            The rights and obligations of Executive hereunder are personal and may not be assigned. The Company may assign this Agreement, and its rights and obligations hereunder, to any entity to which the Company transfers substantially all of its assets (or an affiliate thereof).</w:t>
      </w:r>
    </w:p>
    <w:p>
      <w:pPr>
        <w:spacing w:after="0" w:line="1"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18"/>
          <w:szCs w:val="18"/>
          <w:color w:val="auto"/>
        </w:rPr>
        <w:t>(c)            This Agreement may be amended or modified only by a written instrument signed by a duly authorized officer of the Company and Executive.</w:t>
      </w:r>
    </w:p>
    <w:p>
      <w:pPr>
        <w:spacing w:after="0" w:line="177" w:lineRule="exact"/>
        <w:rPr>
          <w:sz w:val="20"/>
          <w:szCs w:val="20"/>
          <w:color w:val="auto"/>
        </w:rPr>
      </w:pPr>
    </w:p>
    <w:p>
      <w:pPr>
        <w:jc w:val="both"/>
        <w:ind w:left="200" w:right="219"/>
        <w:spacing w:after="0" w:line="28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and construed in accordance with the internal laws of the State of Delaware, without regard to its choice of law provisions.</w:t>
      </w:r>
    </w:p>
    <w:p>
      <w:pPr>
        <w:spacing w:after="0" w:line="155" w:lineRule="exact"/>
        <w:rPr>
          <w:sz w:val="20"/>
          <w:szCs w:val="20"/>
          <w:color w:val="auto"/>
        </w:rPr>
      </w:pPr>
    </w:p>
    <w:p>
      <w:pPr>
        <w:jc w:val="both"/>
        <w:ind w:left="200" w:right="219"/>
        <w:spacing w:after="0" w:line="26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In the event of any dispute under the provisions of this Agreement or otherwise regarding Executive’s employment or compensation (other than a dispute in which the primary relief sought is an injunction or other equitable remedy, such as an action to enforce compliance with the Proprietary Information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16" w:name="page217"/>
    <w:bookmarkEnd w:id="216"/>
    <w:p>
      <w:pPr>
        <w:jc w:val="both"/>
        <w:ind w:left="200" w:right="219"/>
        <w:spacing w:after="0" w:line="253" w:lineRule="auto"/>
        <w:rPr>
          <w:sz w:val="20"/>
          <w:szCs w:val="20"/>
          <w:color w:val="auto"/>
        </w:rPr>
      </w:pPr>
      <w:r>
        <w:rPr>
          <w:rFonts w:ascii="Times New Roman" w:cs="Times New Roman" w:eastAsia="Times New Roman" w:hAnsi="Times New Roman"/>
          <w:sz w:val="18"/>
          <w:szCs w:val="18"/>
          <w:color w:val="auto"/>
        </w:rPr>
        <w:t>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188" w:lineRule="exact"/>
        <w:rPr>
          <w:sz w:val="20"/>
          <w:szCs w:val="20"/>
          <w:color w:val="auto"/>
        </w:rPr>
      </w:pPr>
    </w:p>
    <w:p>
      <w:pPr>
        <w:jc w:val="both"/>
        <w:ind w:left="200" w:right="239"/>
        <w:spacing w:after="0" w:line="28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sections of this Agreement are inserted for convenience only and shall not the meaning of this Agreement.</w:t>
      </w:r>
    </w:p>
    <w:p>
      <w:pPr>
        <w:spacing w:after="0" w:line="155"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notices, demands or other communications hereunder shall be in writing and shall be deemed to have been 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88" w:lineRule="exact"/>
        <w:rPr>
          <w:sz w:val="20"/>
          <w:szCs w:val="20"/>
          <w:color w:val="auto"/>
        </w:rPr>
      </w:pPr>
    </w:p>
    <w:p>
      <w:pPr>
        <w:jc w:val="both"/>
        <w:ind w:left="200" w:right="219"/>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 one party, but all of which taken together will constitute one and the same Agreement.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772795</wp:posOffset>
            </wp:positionV>
            <wp:extent cx="54521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7" w:name="page218"/>
    <w:bookmarkEnd w:id="217"/>
    <w:p>
      <w:pPr>
        <w:jc w:val="right"/>
        <w:ind w:right="2379"/>
        <w:spacing w:after="0"/>
        <w:rPr>
          <w:sz w:val="20"/>
          <w:szCs w:val="20"/>
          <w:color w:val="auto"/>
        </w:rPr>
      </w:pPr>
      <w:r>
        <w:rPr>
          <w:rFonts w:ascii="Times New Roman" w:cs="Times New Roman" w:eastAsia="Times New Roman" w:hAnsi="Times New Roman"/>
          <w:sz w:val="18"/>
          <w:szCs w:val="18"/>
          <w:color w:val="auto"/>
        </w:rPr>
        <w:t>This Agreement has been executed and delivered on the date first above written.</w:t>
      </w: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Jimenez</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-119380</wp:posOffset>
            </wp:positionV>
            <wp:extent cx="25800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_/s/ Brent Pfeiffenberger, Pharm.D._______________</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Name: Brent Pfeiffenberger, Pharm.D.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498475</wp:posOffset>
            </wp:positionV>
            <wp:extent cx="545211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18" w:name="page219"/>
    <w:bookmarkEnd w:id="21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29" w:lineRule="exact"/>
        <w:rPr>
          <w:sz w:val="20"/>
          <w:szCs w:val="20"/>
          <w:color w:val="auto"/>
        </w:rPr>
      </w:pPr>
    </w:p>
    <w:p>
      <w:pPr>
        <w:jc w:val="both"/>
        <w:ind w:left="420" w:right="419" w:hanging="6"/>
        <w:spacing w:after="0" w:line="282" w:lineRule="auto"/>
        <w:tabs>
          <w:tab w:leader="none" w:pos="8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the registrant customarily and actually treats as private and confidential.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1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This License Agreement (including any exhibits attached hereto,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is effective this 22nd day of September,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between Century Therapeutics, Inc., a Delaware corporation (“</w:t>
      </w:r>
      <w:r>
        <w:rPr>
          <w:rFonts w:ascii="Times New Roman" w:cs="Times New Roman" w:eastAsia="Times New Roman" w:hAnsi="Times New Roman"/>
          <w:sz w:val="20"/>
          <w:szCs w:val="20"/>
          <w:b w:val="1"/>
          <w:bCs w:val="1"/>
          <w:color w:val="auto"/>
        </w:rPr>
        <w:t>Century</w:t>
      </w:r>
      <w:r>
        <w:rPr>
          <w:rFonts w:ascii="Times New Roman" w:cs="Times New Roman" w:eastAsia="Times New Roman" w:hAnsi="Times New Roman"/>
          <w:sz w:val="20"/>
          <w:szCs w:val="20"/>
          <w:color w:val="auto"/>
        </w:rPr>
        <w:t>”) having an address at 3675 Market Street, Philadelphia, PA 19104 USA and FUJIFILM Cellular Dynamics Inc., a Wisconsin corporation (“</w:t>
      </w:r>
      <w:r>
        <w:rPr>
          <w:rFonts w:ascii="Times New Roman" w:cs="Times New Roman" w:eastAsia="Times New Roman" w:hAnsi="Times New Roman"/>
          <w:sz w:val="20"/>
          <w:szCs w:val="20"/>
          <w:b w:val="1"/>
          <w:bCs w:val="1"/>
          <w:color w:val="auto"/>
        </w:rPr>
        <w:t>CDI</w:t>
      </w:r>
      <w:r>
        <w:rPr>
          <w:rFonts w:ascii="Times New Roman" w:cs="Times New Roman" w:eastAsia="Times New Roman" w:hAnsi="Times New Roman"/>
          <w:sz w:val="20"/>
          <w:szCs w:val="20"/>
          <w:color w:val="auto"/>
        </w:rPr>
        <w:t>”) having an address at 525 Science Drive Madison, WI 5371 1 USA. Century and CDI are each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Century is a biotechnology company interested in development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commercialization of immunotherapy products based on T cells, NK cells, dendritic cells, macrophages and monocytes derived from human iPSC (including TiPSC);</w:t>
      </w:r>
    </w:p>
    <w:p>
      <w:pPr>
        <w:spacing w:after="0" w:line="16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CDI possesses and controls certain patent rights and know-how related to (i) human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iPSC (including TiPSC)-derived T cells, NK cells, dendritic cells, macrophages and monocytes and (ii) Licensed Products (as defined below);</w:t>
      </w:r>
    </w:p>
    <w:p>
      <w:pPr>
        <w:spacing w:after="0" w:line="16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September 18, 2018, Century and CDI entered into a License Agreement,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a First Amendment to License Agreement effective as of March 23, 2021 and as amended by a certain letter agreement effective as of January 7, 2022 with respect to the BMS Collaboration Agreement (as defined in such letter agreement) and as amended by a Second Amendment to License Agreement effective as of September 22, 2023 (the “2018 License”) pursuant to which, CDI granted Century Inc. an exclusive license under the Licensed Technology to Exploit the Licensed Products within the Field (as defined in the 2018 License) in the Territory (as defined in the 2018 License);</w:t>
      </w:r>
    </w:p>
    <w:p>
      <w:pPr>
        <w:spacing w:after="0" w:line="17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Century wishes to obtain, and CDI wishes to grant to Century, a nonexclusive­ license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Licensed Technology (as defined below) for the research, development and commercialization of the Licensed Products (as defined below) in the Territory (as defined below) within the field of therapeutic use for immune-mediated inflammatory diseases, including autoimmune diseases, in humans, other than cancer immunotherapeutic use, with the right to grant sublicenses (through multiple tiers), in all cases subject to the terms and conditions of this Agreement;</w:t>
      </w:r>
    </w:p>
    <w:p>
      <w:pPr>
        <w:spacing w:after="0" w:line="17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CDI wishes to obtain, and Century wishes to grant to CDI, a non-exclusive,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worldwide license under the Century Licensed Technology (as defined below) and the Century Manufacturing Technology (as defined below) for the research, development and commercialization of the CDI CDMO Products (as defined below), with the right to grant sublicenses (through multiple tiers), in all cases subject to the terms and conditions of this Agreement;</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CDI and Century, intending to be legally bound, agree as follows: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0"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 Party, any Person that controls, is controlled by, or is under common control with such Party. For purposes of this definition, “control” shall refer to (a)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9" w:name="page220"/>
    <w:bookmarkEnd w:id="219"/>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a Person that is a corporate entity, direct or indirect ownership of more than fifty percent (50%) of the stock or shares having the right to vote for the election of directors of such Person and (b) in the case of a Person that is not a corporate entity, the possession, directly or indirectly, of the power to direct, or cause the direction of, the management or policies of such Person, whether through the ownership of voting securities, by contract or otherwise.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w:t>
      </w:r>
      <w:r>
        <w:rPr>
          <w:rFonts w:ascii="Times New Roman" w:cs="Times New Roman" w:eastAsia="Times New Roman" w:hAnsi="Times New Roman"/>
          <w:sz w:val="20"/>
          <w:szCs w:val="20"/>
          <w:color w:val="auto"/>
        </w:rPr>
        <w:t>” means a Biologies License Application as defined in the United States Federal Food, Drug, and Cosmetic Act and the regulations promulgated thereunder (21 C.F.R. §§314 et seq).</w:t>
      </w:r>
    </w:p>
    <w:p>
      <w:pPr>
        <w:spacing w:after="0" w:line="152" w:lineRule="exact"/>
        <w:rPr>
          <w:sz w:val="20"/>
          <w:szCs w:val="20"/>
          <w:color w:val="auto"/>
        </w:rPr>
      </w:pPr>
    </w:p>
    <w:p>
      <w:pPr>
        <w:jc w:val="both"/>
        <w:ind w:left="200" w:right="23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Days</w:t>
      </w:r>
      <w:r>
        <w:rPr>
          <w:rFonts w:ascii="Times New Roman" w:cs="Times New Roman" w:eastAsia="Times New Roman" w:hAnsi="Times New Roman"/>
          <w:sz w:val="20"/>
          <w:szCs w:val="20"/>
          <w:color w:val="auto"/>
        </w:rPr>
        <w:t>” means a day that is not a Saturday, Sunday or a day on which banking institutions in Boston, Massachusetts or Wisconsin are authorized by Law to remain closed.</w:t>
      </w:r>
    </w:p>
    <w:p>
      <w:pPr>
        <w:spacing w:after="0" w:line="15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Quarter</w:t>
      </w:r>
      <w:r>
        <w:rPr>
          <w:rFonts w:ascii="Times New Roman" w:cs="Times New Roman" w:eastAsia="Times New Roman" w:hAnsi="Times New Roman"/>
          <w:sz w:val="20"/>
          <w:szCs w:val="20"/>
          <w:color w:val="auto"/>
        </w:rPr>
        <w:t>” means each three-month period beginning on January 1, April 1, July 1 and October 1 of each Calendar Year; provided, however, that as it relates to the First Commercial Sale of the Licensed Product, the first Calendar Quarter shall be comprised of the time period beginning on the date of First Commercial Sale and ending at the end of the Calendar Quarter during which such First Commercial Sale occurs. “Quarterly” means once during each Calendar Quarter.</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Year</w:t>
      </w:r>
      <w:r>
        <w:rPr>
          <w:rFonts w:ascii="Times New Roman" w:cs="Times New Roman" w:eastAsia="Times New Roman" w:hAnsi="Times New Roman"/>
          <w:sz w:val="20"/>
          <w:szCs w:val="20"/>
          <w:color w:val="auto"/>
        </w:rPr>
        <w:t>” means each successive period of twelve (12) months commencing on January 1 and ending on December 31; provided, however, that the first Calendar Year hereunder shall commence on the Effective Date and the final Calendar Year hereunder shall end on the effective date of termination or expiration of this Agreement.</w:t>
      </w:r>
    </w:p>
    <w:p>
      <w:pPr>
        <w:spacing w:after="0" w:line="176"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CDI CDMO Customer</w:t>
      </w:r>
      <w:r>
        <w:rPr>
          <w:rFonts w:ascii="Times New Roman" w:cs="Times New Roman" w:eastAsia="Times New Roman" w:hAnsi="Times New Roman"/>
          <w:sz w:val="20"/>
          <w:szCs w:val="20"/>
          <w:color w:val="auto"/>
        </w:rPr>
        <w:t>” means a Third Party who receives CDI CDMO Services and cells or other deliverables generated in the performance of CDI CDMO Services.</w:t>
      </w:r>
    </w:p>
    <w:p>
      <w:pPr>
        <w:spacing w:after="0" w:line="152"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CDI CDMO Services</w:t>
      </w:r>
      <w:r>
        <w:rPr>
          <w:rFonts w:ascii="Times New Roman" w:cs="Times New Roman" w:eastAsia="Times New Roman" w:hAnsi="Times New Roman"/>
          <w:sz w:val="20"/>
          <w:szCs w:val="20"/>
          <w:color w:val="auto"/>
        </w:rPr>
        <w:t>” means contract services provided by or on behalf of CDI to research, develop or manufacture CDI CDMO Products for any Third Party.</w:t>
      </w:r>
    </w:p>
    <w:p>
      <w:pPr>
        <w:spacing w:after="0" w:line="152"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CDI CDMO Product</w:t>
      </w:r>
      <w:r>
        <w:rPr>
          <w:rFonts w:ascii="Times New Roman" w:cs="Times New Roman" w:eastAsia="Times New Roman" w:hAnsi="Times New Roman"/>
          <w:sz w:val="20"/>
          <w:szCs w:val="20"/>
          <w:color w:val="auto"/>
        </w:rPr>
        <w:t>” means products for the treatment of diseases in humans, including products consisting of cells that are or are modifications of T cells, NK cells, dendritic cells, macrophages or monocytes. For the sake of clarity, such “modifications” exclude materials or substances extracted, isolated from, or secreted by, such modified or unmodified cells.</w:t>
      </w:r>
    </w:p>
    <w:p>
      <w:pPr>
        <w:spacing w:after="0" w:line="17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Century Know-How</w:t>
      </w:r>
      <w:r>
        <w:rPr>
          <w:rFonts w:ascii="Times New Roman" w:cs="Times New Roman" w:eastAsia="Times New Roman" w:hAnsi="Times New Roman"/>
          <w:sz w:val="20"/>
          <w:szCs w:val="20"/>
          <w:color w:val="auto"/>
        </w:rPr>
        <w:t xml:space="preserve">” means (i) all Know-How Owned or Controlled by Century or its Affiliates,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(other than the Licensed Know-How) as of the Effective Date, and (ii) all Know-How that is first made, conceived, reduced to practice or otherwise discovered by, or on behalf of, CDI after the Effective Date in the course of CDI’s performance of the Services (as defined in the Collaboration Agreement) pursuant to the Collaboration Agreement or Activities (as defined in the Supply Agreement) pursuant to the Supply Agreement but is Owned by Century in accordance with the Collaboration Agreement or the Supply Agreement, as applicable, and that is reasonably necessary to practice the Licensed Technology, to perform CDI CDMO Services or to Exploit a CDI CDMO Product.</w:t>
      </w:r>
    </w:p>
    <w:p>
      <w:pPr>
        <w:spacing w:after="0" w:line="18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Century Licensed Technology</w:t>
      </w:r>
      <w:r>
        <w:rPr>
          <w:rFonts w:ascii="Times New Roman" w:cs="Times New Roman" w:eastAsia="Times New Roman" w:hAnsi="Times New Roman"/>
          <w:sz w:val="20"/>
          <w:szCs w:val="20"/>
          <w:color w:val="auto"/>
        </w:rPr>
        <w:t>” means Century Patent Rights and Century Know-How. For clarity, Century Licensed Technology includes Improvements of the Licensed Technology Owned or Controlled by Century or its Affiliates during the Term.</w:t>
      </w:r>
    </w:p>
    <w:p>
      <w:pPr>
        <w:spacing w:after="0" w:line="169" w:lineRule="exact"/>
        <w:rPr>
          <w:sz w:val="20"/>
          <w:szCs w:val="20"/>
          <w:color w:val="auto"/>
        </w:rPr>
      </w:pPr>
    </w:p>
    <w:p>
      <w:pPr>
        <w:jc w:val="both"/>
        <w:ind w:left="200" w:right="23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Century Manufacturing Technology</w:t>
      </w:r>
      <w:r>
        <w:rPr>
          <w:rFonts w:ascii="Times New Roman" w:cs="Times New Roman" w:eastAsia="Times New Roman" w:hAnsi="Times New Roman"/>
          <w:sz w:val="20"/>
          <w:szCs w:val="20"/>
          <w:color w:val="auto"/>
        </w:rPr>
        <w:t>” means any Know-How and other inventions, improvements, discoveries or developments, whether or not patentable, Owned or Controlled by Century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0" w:name="page221"/>
    <w:bookmarkEnd w:id="220"/>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or its Affiliates during the Term that are conceived of, reduced to practice, discovered, tested or developed by or on behalf of Century in connection with Century’s exercise of its rights under the 2018 License, the Collaboration Agreement or the Supply Agreement, in each case to the extent related to manufacturing, analytical development and/or process development. For purposes of clarity, “Century Manufacturing Technology” does not include technologies of gene editing, targets and binders and switches but does include, without limitation, any and all of the following: (i) strategies, criteria or methods for analytical test development and quality control test development for drug substances and/or drug products including, without limitation: determination of the respective tests that are required for intermediates, release and characterization; the development of the appropriate tests; and stability studies and shelf life determination;</w:t>
      </w:r>
    </w:p>
    <w:p>
      <w:pPr>
        <w:spacing w:after="0" w:line="8" w:lineRule="exact"/>
        <w:rPr>
          <w:sz w:val="20"/>
          <w:szCs w:val="20"/>
          <w:color w:val="auto"/>
        </w:rPr>
      </w:pPr>
    </w:p>
    <w:p>
      <w:pPr>
        <w:jc w:val="both"/>
        <w:ind w:left="200" w:right="219" w:firstLine="9"/>
        <w:spacing w:after="0" w:line="252" w:lineRule="auto"/>
        <w:tabs>
          <w:tab w:leader="none" w:pos="495"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criteria and/or methods for cell expansion and scale up process; methods for, and results from, a suite of in vitro and in vivo assays that test cell performance and function; and evaluation analysis of such results;</w:t>
      </w:r>
    </w:p>
    <w:p>
      <w:pPr>
        <w:jc w:val="both"/>
        <w:ind w:left="200" w:right="219" w:firstLine="9"/>
        <w:spacing w:after="0"/>
        <w:tabs>
          <w:tab w:leader="none" w:pos="59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criteria, methods or processes relating to any of the following: closed unit operations (examples, include, without limitation: closed continuous or batch centrifugation); scale up of cell expansion and cell harvest steps; process choreography, i.e., the optimal order of combining streams, transferring streams, sampling and measuring intermediates, and defining hold times; identification of standard, or design of custom made, product contact containers for combining streams, transferring streams, and sampling; cell cryopreservation; drug product vial filling and visual inspection at large scale; and shipping and clinical handling and administration of cryopreserved products; and (iv) pre IND regulatory and Chemistry CMC strategies, interactions (meetings and briefing books), and composition of an IND-enabling technical package supporting development of an immunotherapy for cancer (where “IND” means an investigational new drug application with the FDA, or the equivalent application in any foreign jurisdiction filed with another Regulatory Authority).</w:t>
      </w:r>
    </w:p>
    <w:p>
      <w:pPr>
        <w:spacing w:after="0" w:line="185"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Century Patent Rights</w:t>
      </w:r>
      <w:r>
        <w:rPr>
          <w:rFonts w:ascii="Times New Roman" w:cs="Times New Roman" w:eastAsia="Times New Roman" w:hAnsi="Times New Roman"/>
          <w:sz w:val="20"/>
          <w:szCs w:val="20"/>
          <w:color w:val="auto"/>
        </w:rPr>
        <w:t xml:space="preserve">” means all Patent Rights Owned or Controlled by Century or its Affiliates,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as of the Effective Date (other than the Licensed Patent Rights) that are reasonably necessary to practice the Licensed Technology, to perform CDI CDMO Services or to Exploit a CDI CDMO Product.</w:t>
      </w:r>
    </w:p>
    <w:p>
      <w:pPr>
        <w:spacing w:after="0" w:line="17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Agreement</w:t>
      </w:r>
      <w:r>
        <w:rPr>
          <w:rFonts w:ascii="Times New Roman" w:cs="Times New Roman" w:eastAsia="Times New Roman" w:hAnsi="Times New Roman"/>
          <w:sz w:val="20"/>
          <w:szCs w:val="20"/>
          <w:color w:val="auto"/>
        </w:rPr>
        <w:t>” means the Master Collaboration Agreement dated as of October 21, 2019 between Century and CDI, as amended by Amendment No. 1 to Master Collaboration Agreement dated as of July 17, 2020, by Amendment No. 2 to Master Collaboration Agreement dated as of March 23, 2021, by Amendment No. 3 to Collaboration Agreement dated as of March 29, 2021, by Amendment No. 4 to Master Collaboration Agreement dated as of July 29, 2022 and by a letter agreement dated as of March 7, 2022, by Amendment No. 5 to Master Collaboration Agreement effective as of September 22, 2023 and as may be further amended.</w:t>
      </w:r>
    </w:p>
    <w:p>
      <w:pPr>
        <w:spacing w:after="0" w:line="17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Commercialize</w:t>
      </w:r>
      <w:r>
        <w:rPr>
          <w:rFonts w:ascii="Times New Roman" w:cs="Times New Roman" w:eastAsia="Times New Roman" w:hAnsi="Times New Roman"/>
          <w:sz w:val="20"/>
          <w:szCs w:val="20"/>
          <w:color w:val="auto"/>
        </w:rPr>
        <w:t>” means to engage in any and all activities directed to transporting, storing, marketing, detailing, promoting, distributing, importing, exporting, using, offering to sell or selling a product.</w:t>
      </w:r>
    </w:p>
    <w:p>
      <w:pPr>
        <w:spacing w:after="0" w:line="16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Commercially Reasonable Efforts</w:t>
      </w:r>
      <w:r>
        <w:rPr>
          <w:rFonts w:ascii="Times New Roman" w:cs="Times New Roman" w:eastAsia="Times New Roman" w:hAnsi="Times New Roman"/>
          <w:sz w:val="20"/>
          <w:szCs w:val="20"/>
          <w:color w:val="auto"/>
        </w:rPr>
        <w:t>” means efforts consistent with the efforts and resources as commonly used by a pharmaceutical or biotechnology company, as applicable, of comparable size and resources of such Party for a product at a similar stage of research, development or commercialization having similar product characteristics at a similar stage in its development or product life, taking into account relevant factors including patent coverage, relative safety and efficacy, product profile, the competitiveness of the marketplace, the proprietary position of such product, the regulatory structure involved, the market potential of such product and other relevant factors, including comparative technical, legal, scientific, medical and/or economic factors, all as measured by the facts and circumstances in effect at the time when the relevant activities are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545211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1" w:name="page222"/>
    <w:bookmarkEnd w:id="221"/>
    <w:p>
      <w:pPr>
        <w:jc w:val="both"/>
        <w:ind w:left="200" w:right="219"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means any confidential or proprietary information furnished by one Party (or its Affiliate) to the other Party (or its Affiliate) in connection with this Agreement, whether during the Term or prior to the execution hereof as expressly specified below, provided that such information is (a) specifically designated as confidential at the time of disclosure or confirmed as confidential within [***] days of disclosure or (b) reasonably identifiable by an individual familiar with the industry as confidential or proprietary. Without limiting the generality of the foregoing, Confidential Information includes:</w:t>
      </w:r>
    </w:p>
    <w:p>
      <w:pPr>
        <w:spacing w:after="0" w:line="171" w:lineRule="exact"/>
        <w:rPr>
          <w:sz w:val="20"/>
          <w:szCs w:val="20"/>
          <w:color w:val="auto"/>
        </w:rPr>
      </w:pPr>
    </w:p>
    <w:p>
      <w:pPr>
        <w:ind w:left="200" w:right="219" w:firstLine="1305"/>
        <w:spacing w:after="0" w:line="269" w:lineRule="auto"/>
        <w:tabs>
          <w:tab w:leader="none" w:pos="2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non-public information disclosed by Century to CDI in reports submitted by Century to CDI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non-public information disclosed by Century to CDI relating to patent application prosecution files for the Licensed Patent Rights; and</w:t>
      </w:r>
    </w:p>
    <w:p>
      <w:pPr>
        <w:spacing w:after="0" w:line="15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this Agreement</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means, with respect to Patent Rights or Know-How as such relates to a Party, that such Party owns or has a license or sublicense to such Patent Rights or Know- How and has the legal right to grant a license or sublicense, including having received any necessary Third Party consents, to such Patent Rights or Know-How to the other Party as provided for in this Agreement, or has the ability to assign its right, title and interest in and to such Patent Rights or Know-How to the other Party, without violating the terms of any agreement or other arrangement with any Third Party.</w:t>
      </w:r>
    </w:p>
    <w:p>
      <w:pPr>
        <w:spacing w:after="0" w:line="17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w:t>
      </w:r>
      <w:r>
        <w:rPr>
          <w:rFonts w:ascii="Times New Roman" w:cs="Times New Roman" w:eastAsia="Times New Roman" w:hAnsi="Times New Roman"/>
          <w:sz w:val="20"/>
          <w:szCs w:val="20"/>
          <w:color w:val="auto"/>
        </w:rPr>
        <w:t xml:space="preserve">” means with respect to a Patent Right, that the Exploitation of a given product or item would infringe a Valid Patent Claim of such Patent Right (in the absence of ownership of, or a license under, such Patent Right). Cognates of the word </w:t>
      </w:r>
      <w:r>
        <w:rPr>
          <w:rFonts w:ascii="Times New Roman" w:cs="Times New Roman" w:eastAsia="Times New Roman" w:hAnsi="Times New Roman"/>
          <w:sz w:val="20"/>
          <w:szCs w:val="20"/>
          <w:b w:val="1"/>
          <w:bCs w:val="1"/>
          <w:color w:val="auto"/>
        </w:rPr>
        <w:t>“Cover”</w:t>
      </w:r>
      <w:r>
        <w:rPr>
          <w:rFonts w:ascii="Times New Roman" w:cs="Times New Roman" w:eastAsia="Times New Roman" w:hAnsi="Times New Roman"/>
          <w:sz w:val="20"/>
          <w:szCs w:val="20"/>
          <w:color w:val="auto"/>
        </w:rPr>
        <w:t xml:space="preserve"> have correlative meanings.</w:t>
      </w:r>
    </w:p>
    <w:p>
      <w:pPr>
        <w:spacing w:after="0" w:line="16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European Union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means the economic, scientific, and political organization of member states known as the European Union, as its membership may be altered from time to time, and any successor thereto, and includes, for purposes of this Agreement, Great Britain (whether Great Britain is a member of the E.U. or not).</w:t>
      </w:r>
    </w:p>
    <w:p>
      <w:pPr>
        <w:spacing w:after="0" w:line="17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Exploit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Exploitation</w:t>
      </w:r>
      <w:r>
        <w:rPr>
          <w:rFonts w:ascii="Times New Roman" w:cs="Times New Roman" w:eastAsia="Times New Roman" w:hAnsi="Times New Roman"/>
          <w:sz w:val="20"/>
          <w:szCs w:val="20"/>
          <w:color w:val="auto"/>
        </w:rPr>
        <w:t>” means, with respect to a particular Licensed Product or CDI CDMO Product, as the case may be, to make, have made, use, have used, manufacture, have manufactured, sell, have sold, offer for sale, have offered for sale, import, have imported, export and have exported, including to research, develop, commercialize or otherwise exploit such Licensed Product or CDI CDMO Product.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United States Food and Drug Administration and any successor agency thereto.</w:t>
      </w:r>
    </w:p>
    <w:p>
      <w:pPr>
        <w:spacing w:after="0" w:line="216" w:lineRule="exact"/>
        <w:rPr>
          <w:sz w:val="20"/>
          <w:szCs w:val="20"/>
          <w:color w:val="auto"/>
        </w:rPr>
      </w:pPr>
    </w:p>
    <w:p>
      <w:pPr>
        <w:jc w:val="both"/>
        <w:ind w:left="200" w:right="23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any immunotherapeutic use for immune-mediated inflammatory diseases, including autoimmune diseases in humans, other than cancer immunotherapeutic use.</w:t>
      </w:r>
    </w:p>
    <w:p>
      <w:pPr>
        <w:spacing w:after="0" w:line="152"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Commercial Sale</w:t>
      </w:r>
      <w:r>
        <w:rPr>
          <w:rFonts w:ascii="Times New Roman" w:cs="Times New Roman" w:eastAsia="Times New Roman" w:hAnsi="Times New Roman"/>
          <w:sz w:val="20"/>
          <w:szCs w:val="20"/>
          <w:color w:val="auto"/>
        </w:rPr>
        <w:t>” means, with respect to a given Licensed Product on a country-by-country basis, the first invoiced commercial sale for monetary value for use or consumption by the end user of such Licensed Product in any country in the Territory after the Regulatory Approval for such Licensed Product has been obtained in such country.</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ICC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3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Improvements</w:t>
      </w:r>
      <w:r>
        <w:rPr>
          <w:rFonts w:ascii="Times New Roman" w:cs="Times New Roman" w:eastAsia="Times New Roman" w:hAnsi="Times New Roman"/>
          <w:sz w:val="20"/>
          <w:szCs w:val="20"/>
          <w:color w:val="auto"/>
        </w:rPr>
        <w:t>” means any Intellectual Property arising during the Term that is an improvement to the Licensed Technology from the 2018 License and was developed by either Party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2" w:name="page223"/>
    <w:bookmarkEnd w:id="222"/>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acting on their behalf while performing activities under the 2018 License, the Collaboration Agreement or the Supply Agreement and all intellectual property rights (including Patent Rights) thereto.</w:t>
      </w:r>
    </w:p>
    <w:p>
      <w:pPr>
        <w:spacing w:after="0" w:line="157"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with the FDA, or the equivalent application in any foreign jurisdiction filed with another Regulatory Authority.</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Indication</w:t>
      </w:r>
      <w:r>
        <w:rPr>
          <w:rFonts w:ascii="Times New Roman" w:cs="Times New Roman" w:eastAsia="Times New Roman" w:hAnsi="Times New Roman"/>
          <w:sz w:val="20"/>
          <w:szCs w:val="20"/>
          <w:color w:val="auto"/>
        </w:rPr>
        <w:t>” means a discrete clinically recognized form of a disease. For clarity, a discrete clinically recognized form of a disease that is treated in one or more different subpopulations within a population of patients having such disease shall not be treated as separate Indications for purposes of this Agreement (e.g., front-line treatment, relapsed refractory treatment and maintenance treatment of the same disease shall not be considered different Indications).</w:t>
      </w:r>
    </w:p>
    <w:p>
      <w:pPr>
        <w:spacing w:after="0" w:line="18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ideas, concepts, discoveries, inventions, developments, Know-How, trade secrets, techniques, methodologies, modifications, innovations, improvements, writings, documentation, electronic code,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17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Know-How</w:t>
      </w:r>
      <w:r>
        <w:rPr>
          <w:rFonts w:ascii="Times New Roman" w:cs="Times New Roman" w:eastAsia="Times New Roman" w:hAnsi="Times New Roman"/>
          <w:sz w:val="20"/>
          <w:szCs w:val="20"/>
          <w:color w:val="auto"/>
        </w:rPr>
        <w:t>” means any and all commercial, technical, regulatory, scientific and other know-how and information, knowledge, technology, materials (including biological and chemical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 and know-how, including study designs and protocols), whether or not confidential, proprietary or patentable, in written, electronic or any other form.</w:t>
      </w:r>
    </w:p>
    <w:p>
      <w:pPr>
        <w:spacing w:after="0" w:line="182"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all laws, statutes, rules, codes, regulations, orders, judgments or ordinances applicable to a Party, this Agreement or the activities contemplated hereunder.</w:t>
      </w:r>
    </w:p>
    <w:p>
      <w:pPr>
        <w:spacing w:after="0" w:line="15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Know-How</w:t>
      </w:r>
      <w:r>
        <w:rPr>
          <w:rFonts w:ascii="Times New Roman" w:cs="Times New Roman" w:eastAsia="Times New Roman" w:hAnsi="Times New Roman"/>
          <w:sz w:val="20"/>
          <w:szCs w:val="20"/>
          <w:color w:val="auto"/>
        </w:rPr>
        <w:t>” means all Know-How that is Owned or Controlled by CDI as of the Effective Date that is reasonably necessary to Exploit a Licensed Product, including, without limitation, any Know-How set forth on Exhibit A. For clarity, Licensed Know-How shall not include any Know-How related to the reprogramming of human somatic cells to iPSCs and Century’s rights in such Know-How, if any, are as set forth in the Reprogramming License.</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Patent Rights</w:t>
      </w:r>
      <w:r>
        <w:rPr>
          <w:rFonts w:ascii="Times New Roman" w:cs="Times New Roman" w:eastAsia="Times New Roman" w:hAnsi="Times New Roman"/>
          <w:sz w:val="20"/>
          <w:szCs w:val="20"/>
          <w:color w:val="auto"/>
        </w:rPr>
        <w:t>” means the Patent Rights Owned or Controlled by CDI as of the Effective Date that are reasonably necessary to Exploit a Licensed Product, including, without limitation, any Patent Rights listed on Exhibit B. For clarity, Licensed Patent Rights shall not include any Patent Rights that are licensed to Century by CDI pursuant to the Reprogramming License.</w:t>
      </w:r>
    </w:p>
    <w:p>
      <w:pPr>
        <w:spacing w:after="0" w:line="17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Product</w:t>
      </w:r>
      <w:r>
        <w:rPr>
          <w:rFonts w:ascii="Times New Roman" w:cs="Times New Roman" w:eastAsia="Times New Roman" w:hAnsi="Times New Roman"/>
          <w:sz w:val="20"/>
          <w:szCs w:val="20"/>
          <w:color w:val="auto"/>
        </w:rPr>
        <w:t>” means products for the treatment of disease in humans consisting of cells that are or are modifications of T cells, NK cells, dendritic cells, macrophages and monocytes derived from human iPSC (including TiPSC). For the sake of clarity, such “modifications” exclude materials or substances extracted, isolated from, or secreted by, such modified or unmodified cells. A separate Licensed Product is one for which, under applicable Laws, it is required that there be in effect a separate BLA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545211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3" w:name="page224"/>
    <w:bookmarkEnd w:id="223"/>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respect to the composition of matter or active ingredient of such Licensed Product as compared to the composition(s) of matter or active ingredient(s) of any other Licensed Product.</w:t>
      </w:r>
    </w:p>
    <w:p>
      <w:pPr>
        <w:spacing w:after="0" w:line="157" w:lineRule="exact"/>
        <w:rPr>
          <w:sz w:val="20"/>
          <w:szCs w:val="20"/>
          <w:color w:val="auto"/>
        </w:rPr>
      </w:pPr>
    </w:p>
    <w:p>
      <w:pPr>
        <w:jc w:val="both"/>
        <w:ind w:left="200" w:right="23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Technology</w:t>
      </w:r>
      <w:r>
        <w:rPr>
          <w:rFonts w:ascii="Times New Roman" w:cs="Times New Roman" w:eastAsia="Times New Roman" w:hAnsi="Times New Roman"/>
          <w:sz w:val="20"/>
          <w:szCs w:val="20"/>
          <w:color w:val="auto"/>
        </w:rPr>
        <w:t>” means Licensed Patent Rights and Licensed Know-How. For clarity, Licensed Technology includes Improvements of the Century Licensed Technology Owned or Controlled by CDI as of the Effective Date.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 Market Countries</w:t>
      </w:r>
      <w:r>
        <w:rPr>
          <w:rFonts w:ascii="Times New Roman" w:cs="Times New Roman" w:eastAsia="Times New Roman" w:hAnsi="Times New Roman"/>
          <w:sz w:val="20"/>
          <w:szCs w:val="20"/>
          <w:color w:val="auto"/>
        </w:rPr>
        <w:t>” means France, Germany, Italy, Spain, and the United Kingdom.</w:t>
      </w:r>
    </w:p>
    <w:p>
      <w:pPr>
        <w:spacing w:after="0" w:line="216"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the gross amounts invoiced by Century or its Sublicensees for sales of Licensed Product in finished package form (ready for use by the ultimate consumer) in the Territory to a Third Party, including, but not limited to, sales to wholesalers or other customers in each country in bona fide, arm’s length transactions. In the event Century does not sell directly to such customers in one or more countries, electing instead to utilize another party as a distributor to those customers, it is understood that Net Sales shall include sales by the distributor rather than Century’s sales to the distributor. In determining Net Sales, certain deductions may be taken against the gross amount invoiced. These allowable deductions are the following, but only insofar as these items are commercially reasonable under the circumstances, documented in writing, pertain specifically to Century’s sale of the Licensed Products, were actually included and accounted for in the gross amount invoiced, and were not given in exchange for anything of value (such as data, in-kind consideration, or commitments to purchase other products or services):</w:t>
      </w:r>
    </w:p>
    <w:p>
      <w:pPr>
        <w:spacing w:after="0" w:line="194" w:lineRule="exact"/>
        <w:rPr>
          <w:sz w:val="20"/>
          <w:szCs w:val="20"/>
          <w:color w:val="auto"/>
        </w:rPr>
      </w:pPr>
    </w:p>
    <w:p>
      <w:pPr>
        <w:jc w:val="both"/>
        <w:ind w:left="200" w:right="219" w:firstLine="1305"/>
        <w:spacing w:after="0" w:line="245" w:lineRule="auto"/>
        <w:tabs>
          <w:tab w:leader="none" w:pos="2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discounts actually allowed and taken with respect to Licensed Products, including cash discounts, discounts to managed care or similar organizations or government organizations, administrative fees paid to pharmacy benefits managers; (ii) rebates actually paid or credited, including government rebates such as Medicaid chargebacks or rebates; (iii) retroactive price reductions or allowances actually allowed or granted from the billed amount; and (iv) promotional allowances actually granted to customers as reflected on the same invoice as for the sale of Licensed Product;</w:t>
      </w:r>
    </w:p>
    <w:p>
      <w:pPr>
        <w:spacing w:after="0" w:line="184"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credits or allowances actually granted upon claims, rejections or returns of such sales of Licensed Products, including government mandated recalls and recalls that Century reasonably believes are in the best interest of the consumer;</w:t>
      </w:r>
    </w:p>
    <w:p>
      <w:pPr>
        <w:spacing w:after="0" w:line="174"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duties or other governmental charges levied on or measured by the invoiced amount, as adjusted for rebates, charge-backs and refunds; and</w:t>
      </w:r>
    </w:p>
    <w:p>
      <w:pPr>
        <w:spacing w:after="0" w:line="159"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freight, postage, shipping and insurance charges to the extent included on the same invoice by Century or its Sublicensee for delivery of such Licensed Products.</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discounts on packages of products or services which include Licensed Product in those countries of the Territory in which such is legally permissible </w:t>
      </w:r>
      <w:r>
        <w:rPr>
          <w:rFonts w:ascii="Times New Roman" w:cs="Times New Roman" w:eastAsia="Times New Roman" w:hAnsi="Times New Roman"/>
          <w:sz w:val="20"/>
          <w:szCs w:val="20"/>
          <w:b w:val="1"/>
          <w:bCs w:val="1"/>
          <w:color w:val="auto"/>
        </w:rPr>
        <w:t>(“Packages”),</w:t>
      </w:r>
      <w:r>
        <w:rPr>
          <w:rFonts w:ascii="Times New Roman" w:cs="Times New Roman" w:eastAsia="Times New Roman" w:hAnsi="Times New Roman"/>
          <w:sz w:val="20"/>
          <w:szCs w:val="20"/>
          <w:color w:val="auto"/>
        </w:rPr>
        <w:t xml:space="preserve"> the discount applied to Licensed Product within the Package shall be no greater than the discount determined by discounting the list price of the Licensed Product in the Package by the average percentage discount of list prices of all products of Century in the same Package, calculated as follows:</w:t>
      </w:r>
    </w:p>
    <w:p>
      <w:pPr>
        <w:spacing w:after="0" w:line="18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062990" cy="4972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1062990" cy="497205"/>
                    </a:xfrm>
                    <a:prstGeom prst="rect">
                      <a:avLst/>
                    </a:prstGeom>
                    <a:noFill/>
                  </pic:spPr>
                </pic:pic>
              </a:graphicData>
            </a:graphic>
          </wp:anchor>
        </w:drawing>
      </w:r>
    </w:p>
    <w:p>
      <w:pPr>
        <w:ind w:left="2900"/>
        <w:spacing w:after="0"/>
        <w:rPr>
          <w:sz w:val="20"/>
          <w:szCs w:val="20"/>
          <w:color w:val="auto"/>
        </w:rPr>
      </w:pPr>
      <w:r>
        <w:rPr>
          <w:rFonts w:ascii="Times New Roman" w:cs="Times New Roman" w:eastAsia="Times New Roman" w:hAnsi="Times New Roman"/>
          <w:sz w:val="22"/>
          <w:szCs w:val="22"/>
          <w:color w:val="auto"/>
        </w:rPr>
        <w:t>percentage</w:t>
      </w:r>
    </w:p>
    <w:p>
      <w:pPr>
        <w:ind w:left="2900"/>
        <w:spacing w:after="0" w:line="181" w:lineRule="auto"/>
        <w:tabs>
          <w:tab w:leader="none" w:pos="4020" w:val="left"/>
        </w:tabs>
        <w:rPr>
          <w:sz w:val="20"/>
          <w:szCs w:val="20"/>
          <w:color w:val="auto"/>
        </w:rPr>
      </w:pPr>
      <w:r>
        <w:rPr>
          <w:rFonts w:ascii="Times New Roman" w:cs="Times New Roman" w:eastAsia="Times New Roman" w:hAnsi="Times New Roman"/>
          <w:sz w:val="16"/>
          <w:szCs w:val="16"/>
          <w:color w:val="auto"/>
        </w:rPr>
        <w:t>Discount</w:t>
      </w:r>
      <w:r>
        <w:rPr>
          <w:sz w:val="20"/>
          <w:szCs w:val="20"/>
          <w:color w:val="auto"/>
        </w:rPr>
        <w:tab/>
      </w:r>
      <w:r>
        <w:rPr>
          <w:rFonts w:ascii="Times New Roman" w:cs="Times New Roman" w:eastAsia="Times New Roman" w:hAnsi="Times New Roman"/>
          <w:sz w:val="28"/>
          <w:szCs w:val="28"/>
          <w:color w:val="auto"/>
          <w:vertAlign w:val="subscript"/>
        </w:rPr>
        <w:t>=</w:t>
      </w:r>
    </w:p>
    <w:p>
      <w:pPr>
        <w:ind w:left="2900"/>
        <w:spacing w:after="0" w:line="230" w:lineRule="auto"/>
        <w:rPr>
          <w:sz w:val="20"/>
          <w:szCs w:val="20"/>
          <w:color w:val="auto"/>
        </w:rPr>
      </w:pPr>
      <w:r>
        <w:rPr>
          <w:rFonts w:ascii="Times New Roman" w:cs="Times New Roman" w:eastAsia="Times New Roman" w:hAnsi="Times New Roman"/>
          <w:sz w:val="22"/>
          <w:szCs w:val="22"/>
          <w:color w:val="auto"/>
        </w:rPr>
        <w:t>on a</w:t>
      </w:r>
    </w:p>
    <w:p>
      <w:pPr>
        <w:ind w:left="2900"/>
        <w:spacing w:after="0" w:line="231" w:lineRule="auto"/>
        <w:rPr>
          <w:sz w:val="20"/>
          <w:szCs w:val="20"/>
          <w:color w:val="auto"/>
        </w:rPr>
      </w:pPr>
      <w:r>
        <w:rPr>
          <w:rFonts w:ascii="Times New Roman" w:cs="Times New Roman" w:eastAsia="Times New Roman" w:hAnsi="Times New Roman"/>
          <w:sz w:val="22"/>
          <w:szCs w:val="22"/>
          <w:color w:val="auto"/>
        </w:rPr>
        <w:t>Particular</w:t>
      </w:r>
    </w:p>
    <w:p>
      <w:pPr>
        <w:ind w:left="2900"/>
        <w:spacing w:after="0"/>
        <w:rPr>
          <w:sz w:val="20"/>
          <w:szCs w:val="20"/>
          <w:color w:val="auto"/>
        </w:rPr>
      </w:pPr>
      <w:r>
        <w:rPr>
          <w:rFonts w:ascii="Times New Roman" w:cs="Times New Roman" w:eastAsia="Times New Roman" w:hAnsi="Times New Roman"/>
          <w:sz w:val="22"/>
          <w:szCs w:val="22"/>
          <w:color w:val="auto"/>
        </w:rPr>
        <w:t>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4" w:name="page225"/>
    <w:bookmarkEnd w:id="224"/>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where A equals the total discounted value of a particular Package of products, and B equals the sum of the undiscounted value of the same Package of products. Century shall provide CDI with reasonable documentation supporting the percentage discounts with respect to each product within such Package.</w:t>
      </w:r>
    </w:p>
    <w:p>
      <w:pPr>
        <w:spacing w:after="0" w:line="176" w:lineRule="exact"/>
        <w:rPr>
          <w:sz w:val="20"/>
          <w:szCs w:val="20"/>
          <w:color w:val="auto"/>
        </w:rPr>
      </w:pPr>
    </w:p>
    <w:p>
      <w:pPr>
        <w:ind w:left="200" w:right="219" w:firstLine="1305"/>
        <w:spacing w:after="0" w:line="269" w:lineRule="auto"/>
        <w:tabs>
          <w:tab w:leader="none" w:pos="21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of a Licensed Product is deemed to occur upon the invoicing, or if no invoice is issued, upon the earlier of shipment or transfer of title in the Licensed Product to a Third Party.</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41" w:lineRule="auto"/>
        <w:tabs>
          <w:tab w:leader="none" w:pos="21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Combination Products, if Licensed Products are sold in the form of Combination Products containing one or more therapeutically active ingredients other than the Licensed Product, Net Sales for the Combination Product will be calculated by multiplying actual Net Sales of such Combination Product by the fraction A/(A+B) where A is the invoice price of a Licensed Product if sold separately, and B is the total invoice price of any other active component or components, or devices, in the combination, if sold separately. If, on a country-by-country basis, the other active component or components in the combination are not sold separately in said country, Net Sales for the purpose of determining royalties of the Combination Product shall be calculated by multiplying actual Net Sales of such Combination Product by the fraction A/C where A is the invoice price of either the Licensed Product, if sold separately, and C is the invoice price of the Combination Product. If, on a country-by-country basis, neither the Licensed Product nor the other active component or components of the Combination Product is sold separately in said country, Net Sales for the purposes of determining royalties of the Combination Product shall be determined by the Parties in good faith based on the relative value of the Licensed Product and the additional active ingredients that are included in the Combination Product.</w:t>
      </w:r>
    </w:p>
    <w:p>
      <w:pPr>
        <w:spacing w:after="0" w:line="19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Owned</w:t>
      </w:r>
      <w:r>
        <w:rPr>
          <w:rFonts w:ascii="Times New Roman" w:cs="Times New Roman" w:eastAsia="Times New Roman" w:hAnsi="Times New Roman"/>
          <w:sz w:val="20"/>
          <w:szCs w:val="20"/>
          <w:color w:val="auto"/>
        </w:rPr>
        <w:t>” means, with respect to Patent Rights or Know-How that a Person owns, solely or jointly, in each case with the ability to grant a right, license, or access to such material, information or Intellectual Property right to another Person on the terms and conditions set forth herein, without violating the terms of any agreement or other arrangement with any of such Person’s Affiliates and/or Third Party(ies). “Ownership” has the correlative meaning.</w:t>
      </w:r>
    </w:p>
    <w:p>
      <w:pPr>
        <w:spacing w:after="0" w:line="180"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Rights</w:t>
      </w:r>
      <w:r>
        <w:rPr>
          <w:rFonts w:ascii="Times New Roman" w:cs="Times New Roman" w:eastAsia="Times New Roman" w:hAnsi="Times New Roman"/>
          <w:sz w:val="20"/>
          <w:szCs w:val="20"/>
          <w:color w:val="auto"/>
        </w:rPr>
        <w:t>” means with respect to any patents or patent applications, (a) such patents or patent applications; (b) patents issuing from such patent applications; (c) substitutions, divisionals, renewals, continuations or continuations-in-part (only to the extent of claims that are entitled to the priority date of the parent application); (d) patents of addition, restorations, extensions, supplementary protection certificates, registration or confirmation patents, patents resulting from post-grant proceedings, re-issues and re-examinations; (e) other patents or patent applications claiming and entitled to claim priority to (i) such patents and patent applications specified in (a), (b), (c) or (d) or (ii) any patent or patent application from which such patents and patent applications specified in (a), (b), (c) or (d) claims and is entitled to claim priority (f) all rights of priority attendant to such listed in (a) through (e); and (g) in each case of such patents and patent applications described in (a) through (e), including all counterparts and foreign equivalents thereof tiled in any country, territory or jurisdiction in the world.</w:t>
      </w:r>
    </w:p>
    <w:p>
      <w:pPr>
        <w:spacing w:after="0" w:line="190"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or any corporation, company, partnership, joint venture, firm or other entity, including a Party, or any government or agency or political subdivision thereof.</w:t>
      </w:r>
    </w:p>
    <w:p>
      <w:pPr>
        <w:spacing w:after="0" w:line="15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1 Clinical Trial</w:t>
      </w:r>
      <w:r>
        <w:rPr>
          <w:rFonts w:ascii="Times New Roman" w:cs="Times New Roman" w:eastAsia="Times New Roman" w:hAnsi="Times New Roman"/>
          <w:sz w:val="20"/>
          <w:szCs w:val="20"/>
          <w:color w:val="auto"/>
        </w:rPr>
        <w:t>” means, as to a specific Licensed Product, a human clinical trial of a product in any country designed to satisfy the requirements of 21 C.F.R. §312.21(a) as amended from time to time, and intended to determine metabolism and pharmacologic actions of a drug in humans, the side effects associated with increasing doses and, if possible, to gain early evidence of efficacy, or any comparable trial under applicable Laws in the United States or the corresponding regulation in jurisdictions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5" w:name="page226"/>
    <w:bookmarkEnd w:id="225"/>
    <w:p>
      <w:pPr>
        <w:jc w:val="both"/>
        <w:ind w:left="200" w:right="219"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3 Clinical Trial</w:t>
      </w:r>
      <w:r>
        <w:rPr>
          <w:rFonts w:ascii="Times New Roman" w:cs="Times New Roman" w:eastAsia="Times New Roman" w:hAnsi="Times New Roman"/>
          <w:sz w:val="20"/>
          <w:szCs w:val="20"/>
          <w:color w:val="auto"/>
        </w:rPr>
        <w:t>” means a human clinical trial of a Licensed Product in any country that satisfies the requirements of 21 C.F.R. § 312.21(c). For clarity, a trial called a Phase 2/3 trial shall be considered a Phase 3 trial if it satisfies the requirements of 21 C.F.R. § 312.21(c).</w:t>
      </w:r>
    </w:p>
    <w:p>
      <w:pPr>
        <w:spacing w:after="0" w:line="171"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Prosecution and Maintenance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Prosecute and Maintain</w:t>
      </w:r>
      <w:r>
        <w:rPr>
          <w:rFonts w:ascii="Times New Roman" w:cs="Times New Roman" w:eastAsia="Times New Roman" w:hAnsi="Times New Roman"/>
          <w:sz w:val="19"/>
          <w:szCs w:val="19"/>
          <w:color w:val="auto"/>
        </w:rPr>
        <w:t>” means, with respect to the applicable Patent Rights, the preparation, filing, prosecution and maintenance of such Patent Rights, as well as re-examinations, reissues, appeals, and requests for patent term adjustments and patent term extensions with respect to such Patent Rights, together with the initiation or defense of interferences, the initiation or defense of oppositions, post grant review, and other similar proceedings with respect to the particular Patent Rights, and any appeals therefrom. For clarification, “Prosecution and Maintenance” or “Prosecute and Maintain” shall not include any other enforcement actions taken with respect to Patent Rights.</w:t>
      </w:r>
    </w:p>
    <w:p>
      <w:pPr>
        <w:spacing w:after="0" w:line="16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BLA or comparable filing in the United States or approval of a comparable filing in any other country or jurisdiction.</w:t>
      </w:r>
    </w:p>
    <w:p>
      <w:pPr>
        <w:spacing w:after="0" w:line="18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16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Documentation</w:t>
      </w:r>
      <w:r>
        <w:rPr>
          <w:rFonts w:ascii="Times New Roman" w:cs="Times New Roman" w:eastAsia="Times New Roman" w:hAnsi="Times New Roman"/>
          <w:sz w:val="20"/>
          <w:szCs w:val="20"/>
          <w:color w:val="auto"/>
        </w:rPr>
        <w:t>” means all applications, registrations, licenses, authorizations and approvals (including all Regulatory Approvals), all correspondence submitted to or received from Regulatory Authorities (including minutes and official contact reports relating to any communications with any Regulatory Authority) and all supporting documents and all clinical studies and tests, relating to the Licensed Products and all data contained in any of the foregoing, including all INDs, Regulatory Approvals, regulatory drug lists, advertising and promotion documents, manufacturing data, drug master files, clinical data, adverse event files and complaint files.</w:t>
      </w:r>
    </w:p>
    <w:p>
      <w:pPr>
        <w:spacing w:after="0" w:line="17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Reprogramming License</w:t>
      </w:r>
      <w:r>
        <w:rPr>
          <w:rFonts w:ascii="Times New Roman" w:cs="Times New Roman" w:eastAsia="Times New Roman" w:hAnsi="Times New Roman"/>
          <w:sz w:val="20"/>
          <w:szCs w:val="20"/>
          <w:color w:val="auto"/>
        </w:rPr>
        <w:t>” means that certain agreement entered into between the Parties under which CDI grants a non-exclusive license to Century under patent rights in relation to reprogramming technology under the terms and conditions therein, as amended by a First Amendment to License Agreement effective as of March 23, 2021, as amended by a certain letter agreement effective as of January 7, 2022 with respect to the BMS Collaboration Agreement (as defined in such letter agreement), as amended by a Second Amendment to License Agreement effective as of September 22, 2023, and as may be further amended.</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 Filing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Sublicensee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Supply Agreement</w:t>
      </w:r>
      <w:r>
        <w:rPr>
          <w:rFonts w:ascii="Times New Roman" w:cs="Times New Roman" w:eastAsia="Times New Roman" w:hAnsi="Times New Roman"/>
          <w:sz w:val="20"/>
          <w:szCs w:val="20"/>
          <w:color w:val="auto"/>
        </w:rPr>
        <w:t>” means the Manufacturing and Supply Agreement dated as of March 23, 2021 between Century and CDI, and as may be amended.</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xml:space="preserve">” means the term of this Agreement as provided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xml:space="preserve">” means worldwide, but excluding any country(ies) eliminated from the Territory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6" w:name="page227"/>
    <w:bookmarkEnd w:id="226"/>
    <w:p>
      <w:pPr>
        <w:jc w:val="both"/>
        <w:ind w:left="200" w:right="23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w:t>
      </w:r>
      <w:r>
        <w:rPr>
          <w:rFonts w:ascii="Times New Roman" w:cs="Times New Roman" w:eastAsia="Times New Roman" w:hAnsi="Times New Roman"/>
          <w:sz w:val="20"/>
          <w:szCs w:val="20"/>
          <w:color w:val="auto"/>
        </w:rPr>
        <w:t>” means any Person other than a Party. For avoidance of doubt, Third Party will include each Party’s Affiliates.</w:t>
      </w:r>
    </w:p>
    <w:p>
      <w:pPr>
        <w:spacing w:after="0" w:line="153"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 and its territories and possessions (including the District of Columbia and Puerto Rico).</w:t>
      </w:r>
    </w:p>
    <w:p>
      <w:pPr>
        <w:spacing w:after="0" w:line="15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Valid Patent Claim</w:t>
      </w:r>
      <w:r>
        <w:rPr>
          <w:rFonts w:ascii="Times New Roman" w:cs="Times New Roman" w:eastAsia="Times New Roman" w:hAnsi="Times New Roman"/>
          <w:sz w:val="19"/>
          <w:szCs w:val="19"/>
          <w:color w:val="auto"/>
        </w:rPr>
        <w:t>” means a claim in any Licensed Patent Rights, which claim has not expired or held invalid by a non-appealed or unappealable decision by a court or other appropriate body of competent jurisdiction. In addition, and when referring to the European Union or to any of its member states, a claim shall not be a Valid Patent Claim, unless it is issued or pending in its regional or national phase, in each and all members of the European Union or the European Patent Convention, whichever has the largest number of member states, as of the Effective Date of this Agreement. For the purpose of royalty determination and payment, any claim being prosecuted in a pending patent application shall be deemed to be a “Valid Patent Claim” provided such claim is not pending for more than [***] years from the earliest filing date of the patent application in which case it shall cease to be considered a Valid Patent Claim until the patent issues.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License Grants; Technology Transfer</w:t>
      </w:r>
    </w:p>
    <w:p>
      <w:pPr>
        <w:spacing w:after="0" w:line="190"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2.1 License Grants to Century</w:t>
      </w:r>
      <w:r>
        <w:rPr>
          <w:rFonts w:ascii="Times New Roman" w:cs="Times New Roman" w:eastAsia="Times New Roman" w:hAnsi="Times New Roman"/>
          <w:sz w:val="20"/>
          <w:szCs w:val="20"/>
          <w:color w:val="auto"/>
        </w:rPr>
        <w:t>. Subject to the terms and conditions of this Agreement, CDI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Century:</w:t>
      </w:r>
    </w:p>
    <w:p>
      <w:pPr>
        <w:spacing w:after="0" w:line="156" w:lineRule="exact"/>
        <w:rPr>
          <w:sz w:val="20"/>
          <w:szCs w:val="20"/>
          <w:color w:val="auto"/>
        </w:rPr>
      </w:pPr>
    </w:p>
    <w:p>
      <w:pPr>
        <w:jc w:val="both"/>
        <w:ind w:left="200" w:right="219" w:firstLine="1305"/>
        <w:spacing w:after="0" w:line="242" w:lineRule="auto"/>
        <w:tabs>
          <w:tab w:leader="none" w:pos="2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non-exclusive, non-transferable (except in accordance with Section 10.3), royalty-bearing, sublicensable (with the ability to sublicense through multiple tiers) license under the Licensed Technology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is being researched, developed or commercialized by or on behalf of Century or Sublicensees, or (ii) to grant any sublicense to any Third Party to manufacture, have manufactured, sell, have sold, offer for sale or have offered for sale any product or service to any other Third Party in furtherance of any research or development of a product other than a Licensed Product that is being researched, developed or commercialized by or on behalf of Century or Sublicensees; and</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non-exclusive, non-transferable (except in accordance with Section 10.3), license and right of reference, with the right to grant sublicenses through multiple tiers and further rights of reference, under any Regulatory Documentation Owned and Controlled by CDI and any master file included in the Regulatory Documentation as of the Effective Date so long as CDI Owns or Controls such Regulatory Documentation, to Exploit the Licensed Products within the Field in the Territory.</w:t>
      </w:r>
    </w:p>
    <w:p>
      <w:pPr>
        <w:spacing w:after="0" w:line="18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2.2 License Grants to CDI</w:t>
      </w:r>
      <w:r>
        <w:rPr>
          <w:rFonts w:ascii="Times New Roman" w:cs="Times New Roman" w:eastAsia="Times New Roman" w:hAnsi="Times New Roman"/>
          <w:sz w:val="20"/>
          <w:szCs w:val="20"/>
          <w:color w:val="auto"/>
        </w:rPr>
        <w:t>. Notwithstanding anything to the contrary in the Collaboration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and subject to the terms and conditions of this Agreement, Century hereby grants to CDI a fully paid-up, perpetual, irrevocable, non-exclusive, non-transferable (except in accordance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sublicensable (with the ability to sublicense through multiple tiers) worldwide license under the Century Licensed Technology and Century Manufacturing Technology for (i) CDI CDMO Services and (ii) the Exploitation of CDI CDMO Products by CDI CDMO Customers.</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20"/>
          <w:szCs w:val="20"/>
          <w:b w:val="1"/>
          <w:bCs w:val="1"/>
          <w:color w:val="auto"/>
        </w:rPr>
        <w:t>Sublicensing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359410</wp:posOffset>
            </wp:positionV>
            <wp:extent cx="545211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7" w:name="page228"/>
    <w:bookmarkEnd w:id="227"/>
    <w:p>
      <w:pPr>
        <w:jc w:val="both"/>
        <w:ind w:left="200" w:right="219" w:firstLine="1305"/>
        <w:spacing w:after="0" w:line="243" w:lineRule="auto"/>
        <w:tabs>
          <w:tab w:leader="none" w:pos="21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shall have the right to grant sublicenses under the licenses granted to it, with respect to Century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with respect to CDI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in each case, to Third Parties (each, a “Sublicense”) through multiple tiers; provided that any such sublicense granted to a Third Party shall be pursuant to a written agreement and each sublicense shall be subject to all relevant restrictions and limitations set forth in this Agreement. Each Party shall be responsible for each of its Sublicensees complying with all obligations of such Party under this Agreement that are applicable to sublicenses and any breach by a Sublicensee under any such sublicense shall be deemed to be a breach of such Party under this Agreement. Each Party shall notify the other Party in writing of the identity of Sublicensees without delay.</w:t>
      </w:r>
    </w:p>
    <w:p>
      <w:pPr>
        <w:spacing w:after="0" w:line="185"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this Agreement is terminated for any reason other than by Century pursuant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then, at the option of any Sublicensee of a terminating Party not in default of the applicable sublicense (or any provision of this Agreement applicable to such Sublicensee), a terminating Party shall use Commercially Reasonable Efforts to execute a possible direct license arrangement with such Sublicensee under, and subject to the terms and conditions of, this Agreement.</w:t>
      </w:r>
    </w:p>
    <w:p>
      <w:pPr>
        <w:spacing w:after="0" w:line="181" w:lineRule="exact"/>
        <w:rPr>
          <w:sz w:val="20"/>
          <w:szCs w:val="20"/>
          <w:color w:val="auto"/>
        </w:rPr>
      </w:pPr>
    </w:p>
    <w:p>
      <w:pPr>
        <w:jc w:val="both"/>
        <w:ind w:left="200" w:right="23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2.4 No Implied License</w:t>
      </w:r>
      <w:r>
        <w:rPr>
          <w:rFonts w:ascii="Times New Roman" w:cs="Times New Roman" w:eastAsia="Times New Roman" w:hAnsi="Times New Roman"/>
          <w:sz w:val="20"/>
          <w:szCs w:val="20"/>
          <w:color w:val="auto"/>
        </w:rPr>
        <w:t>. Except as explicitly set forth in this Agreement, neither Party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 any license, intellectual property interest or other rights, by implication or otherwise, in any Know-How or under any Patent Rights Owned or Controlled by the other Party or its Affiliates.</w:t>
      </w:r>
    </w:p>
    <w:p>
      <w:pPr>
        <w:spacing w:after="0" w:line="16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2.5 Section 365(n) of the Bankruptcy Code</w:t>
      </w:r>
      <w:r>
        <w:rPr>
          <w:rFonts w:ascii="Times New Roman" w:cs="Times New Roman" w:eastAsia="Times New Roman" w:hAnsi="Times New Roman"/>
          <w:sz w:val="20"/>
          <w:szCs w:val="20"/>
          <w:color w:val="auto"/>
        </w:rPr>
        <w:t>. All rights and licenses granted under or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any section of this Agreement are and will otherwise be deemed to be for purposes of Section 365(n) of the United States Bankruptcy Code (Title 11, U.S. Code) as amended or any comparable Law outside the United States (the “Bankruptcy Code”), licenses of rights to “intellectual property” as defined in Section 101 (35 A) of the Bankruptcy Code. Each licensing Party agrees that a licensed Party, as licensee of such rights under this Agreement, will retain and may fully exercise all of its rights and elections under the Bankruptcy Code or any other provisions of Law outside the United States that provide similar protection for “intellectual property.” Any agreement supplemental hereto will be deemed to be “agreements supplementary to” this Agreement for purposes of Section 365(n) of the Bankruptcy Code.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Development, Commercialization and Manufacture</w:t>
      </w:r>
    </w:p>
    <w:p>
      <w:pPr>
        <w:spacing w:after="0" w:line="19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3.1 General</w:t>
      </w:r>
      <w:r>
        <w:rPr>
          <w:rFonts w:ascii="Times New Roman" w:cs="Times New Roman" w:eastAsia="Times New Roman" w:hAnsi="Times New Roman"/>
          <w:sz w:val="20"/>
          <w:szCs w:val="20"/>
          <w:color w:val="auto"/>
        </w:rPr>
        <w:t>. As between the Parties, each Party shall be solely responsible for developing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preparing any and all regulatory filings for, obtaining Regulatory Approval of, and commercializing its own Licensed Products or CDI CDMO Products, as the case may be, in the Field and in the Territory, in its sole discretion.</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3.2 Diligence</w:t>
      </w:r>
      <w:r>
        <w:rPr>
          <w:rFonts w:ascii="Times New Roman" w:cs="Times New Roman" w:eastAsia="Times New Roman" w:hAnsi="Times New Roman"/>
          <w:sz w:val="20"/>
          <w:szCs w:val="20"/>
          <w:color w:val="auto"/>
        </w:rPr>
        <w:t>. Century shall use Commercially Reasonable Efforts, or shall cause one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Affiliates and Sublicensees to use Commercially Reasonable Efforts, to develop, seek Regulatory Approval of and commercialize at least one (1) Licensed Product in the United States in the Field.</w:t>
      </w:r>
    </w:p>
    <w:p>
      <w:pPr>
        <w:spacing w:after="0" w:line="16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3.3 Progress Reports</w:t>
      </w:r>
      <w:r>
        <w:rPr>
          <w:rFonts w:ascii="Times New Roman" w:cs="Times New Roman" w:eastAsia="Times New Roman" w:hAnsi="Times New Roman"/>
          <w:sz w:val="20"/>
          <w:szCs w:val="20"/>
          <w:color w:val="auto"/>
        </w:rPr>
        <w:t>. Century shall provide, within [***] days after the end of each Calendar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a status progress report to CDI that summarizes the status of Century’s research, development and Commercialization efforts and activities with respect to Licensed Products during such Calendar Year.</w:t>
      </w:r>
    </w:p>
    <w:p>
      <w:pPr>
        <w:spacing w:after="0" w:line="16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3.4 Compliance</w:t>
      </w:r>
      <w:r>
        <w:rPr>
          <w:rFonts w:ascii="Times New Roman" w:cs="Times New Roman" w:eastAsia="Times New Roman" w:hAnsi="Times New Roman"/>
          <w:sz w:val="20"/>
          <w:szCs w:val="20"/>
          <w:color w:val="auto"/>
        </w:rPr>
        <w:t>. Each Party shall, and shall ensure that its Affiliates and Sublicensees,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their subcontractors, conduct all development, manufacture and Commercialization of Licensed Products and CDI CDMO Products, as the case may be, in compliance with all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8" w:name="page229"/>
    <w:bookmarkEnd w:id="22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FINANCIALS AND REPORTING</w:t>
      </w:r>
    </w:p>
    <w:p>
      <w:pPr>
        <w:spacing w:after="0" w:line="19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4.1 License Fee</w:t>
      </w:r>
      <w:r>
        <w:rPr>
          <w:rFonts w:ascii="Times New Roman" w:cs="Times New Roman" w:eastAsia="Times New Roman" w:hAnsi="Times New Roman"/>
          <w:sz w:val="20"/>
          <w:szCs w:val="20"/>
          <w:color w:val="auto"/>
        </w:rPr>
        <w:t>. Century shall pay to CDI a nonrefundable license fee of [***] within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days of the Effective Date. Such payment is not subject to any future performance by either Party under this Agreement.</w:t>
      </w:r>
    </w:p>
    <w:p>
      <w:pPr>
        <w:spacing w:after="0" w:line="16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4.2 Milestone Payments</w:t>
      </w:r>
      <w:r>
        <w:rPr>
          <w:rFonts w:ascii="Times New Roman" w:cs="Times New Roman" w:eastAsia="Times New Roman" w:hAnsi="Times New Roman"/>
          <w:sz w:val="20"/>
          <w:szCs w:val="20"/>
          <w:color w:val="auto"/>
        </w:rPr>
        <w:t>. Century shall pay to CDI on a Licensed Product-by-Licensed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basis, each of the following milestone payments (each of which shall be non-refundable and non-creditable), which shall become due and payable when each Licensed Product hereunder first achieves each of the following Development milestones, regardless of whether such Development milestone is achieved by Licensee or its Sublicensee:</w:t>
      </w:r>
    </w:p>
    <w:p>
      <w:pPr>
        <w:spacing w:after="0" w:line="184" w:lineRule="exact"/>
        <w:rPr>
          <w:sz w:val="20"/>
          <w:szCs w:val="20"/>
          <w:color w:val="auto"/>
        </w:rPr>
      </w:pPr>
    </w:p>
    <w:p>
      <w:pPr>
        <w:ind w:left="2160" w:hanging="655"/>
        <w:spacing w:after="0"/>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For example, and without limitation:</w:t>
      </w:r>
    </w:p>
    <w:p>
      <w:pPr>
        <w:spacing w:after="0" w:line="218" w:lineRule="exact"/>
        <w:rPr>
          <w:sz w:val="20"/>
          <w:szCs w:val="20"/>
          <w:color w:val="auto"/>
        </w:rPr>
      </w:pPr>
    </w:p>
    <w:tbl>
      <w:tblPr>
        <w:tblLayout w:type="fixed"/>
        <w:tblInd w:w="850" w:type="dxa"/>
        <w:tblCellMar>
          <w:top w:w="0" w:type="dxa"/>
          <w:left w:w="0" w:type="dxa"/>
          <w:bottom w:w="0" w:type="dxa"/>
          <w:right w:w="0" w:type="dxa"/>
        </w:tblCellMar>
      </w:tblPr>
      <w:tr>
        <w:trPr>
          <w:trHeight w:val="369"/>
        </w:trPr>
        <w:tc>
          <w:tcPr>
            <w:tcW w:w="3460" w:type="dxa"/>
            <w:vAlign w:val="bottom"/>
            <w:tcBorders>
              <w:top w:val="single" w:sz="8" w:color="auto"/>
              <w:left w:val="single" w:sz="8" w:color="auto"/>
              <w:bottom w:val="single" w:sz="8" w:color="BFBFBF"/>
              <w:right w:val="single" w:sz="8" w:color="auto"/>
            </w:tcBorders>
            <w:shd w:val="clear" w:color="auto" w:fill="BFBFBF"/>
          </w:tcPr>
          <w:p>
            <w:pPr>
              <w:jc w:val="right"/>
              <w:ind w:right="1392"/>
              <w:spacing w:after="0"/>
              <w:rPr>
                <w:sz w:val="20"/>
                <w:szCs w:val="20"/>
                <w:color w:val="auto"/>
              </w:rPr>
            </w:pPr>
            <w:r>
              <w:rPr>
                <w:rFonts w:ascii="Times New Roman" w:cs="Times New Roman" w:eastAsia="Times New Roman" w:hAnsi="Times New Roman"/>
                <w:sz w:val="22"/>
                <w:szCs w:val="22"/>
                <w:color w:val="auto"/>
              </w:rPr>
              <w:t>[***]</w:t>
            </w:r>
          </w:p>
        </w:tc>
        <w:tc>
          <w:tcPr>
            <w:tcW w:w="3880" w:type="dxa"/>
            <w:vAlign w:val="bottom"/>
            <w:tcBorders>
              <w:top w:val="single" w:sz="8" w:color="auto"/>
              <w:bottom w:val="single" w:sz="8" w:color="BFBFBF"/>
              <w:right w:val="single" w:sz="8" w:color="auto"/>
            </w:tcBorders>
            <w:shd w:val="clear" w:color="auto" w:fill="BFBFBF"/>
          </w:tcPr>
          <w:p>
            <w:pPr>
              <w:jc w:val="right"/>
              <w:ind w:right="1612"/>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3460" w:type="dxa"/>
            <w:vAlign w:val="bottom"/>
            <w:tcBorders>
              <w:top w:val="single" w:sz="8" w:color="auto"/>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80" w:type="dxa"/>
            <w:vAlign w:val="bottom"/>
            <w:tcBorders>
              <w:top w:val="single" w:sz="8" w:color="auto"/>
              <w:bottom w:val="single" w:sz="8" w:color="auto"/>
              <w:right w:val="single" w:sz="8" w:color="auto"/>
            </w:tcBorders>
          </w:tcPr>
          <w:p>
            <w:pPr>
              <w:jc w:val="right"/>
              <w:ind w:right="161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46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80" w:type="dxa"/>
            <w:vAlign w:val="bottom"/>
            <w:tcBorders>
              <w:bottom w:val="single" w:sz="8" w:color="auto"/>
              <w:right w:val="single" w:sz="8" w:color="auto"/>
            </w:tcBorders>
          </w:tcPr>
          <w:p>
            <w:pPr>
              <w:jc w:val="right"/>
              <w:ind w:right="161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3460" w:type="dxa"/>
            <w:vAlign w:val="bottom"/>
            <w:tcBorders>
              <w:left w:val="single" w:sz="8" w:color="auto"/>
              <w:bottom w:val="single" w:sz="8" w:color="auto"/>
              <w:right w:val="single" w:sz="8" w:color="auto"/>
            </w:tcBorders>
          </w:tcPr>
          <w:p>
            <w:pPr>
              <w:jc w:val="right"/>
              <w:ind w:right="1392"/>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80" w:type="dxa"/>
            <w:vAlign w:val="bottom"/>
            <w:tcBorders>
              <w:bottom w:val="single" w:sz="8" w:color="auto"/>
              <w:right w:val="single" w:sz="8" w:color="auto"/>
            </w:tcBorders>
          </w:tcPr>
          <w:p>
            <w:pPr>
              <w:jc w:val="right"/>
              <w:ind w:right="161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7" w:lineRule="exact"/>
        <w:rPr>
          <w:sz w:val="20"/>
          <w:szCs w:val="20"/>
          <w:color w:val="auto"/>
        </w:rPr>
      </w:pPr>
    </w:p>
    <w:p>
      <w:pPr>
        <w:ind w:left="2160" w:hanging="655"/>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4.3 Sales Milestones</w:t>
      </w:r>
      <w:r>
        <w:rPr>
          <w:rFonts w:ascii="Times New Roman" w:cs="Times New Roman" w:eastAsia="Times New Roman" w:hAnsi="Times New Roman"/>
          <w:sz w:val="20"/>
          <w:szCs w:val="20"/>
          <w:color w:val="auto"/>
        </w:rPr>
        <w:t>. Century shall pay to CDI the following one-time sales-based milestone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on a Licensed Product-by-Licensed Product basis, based on the total Net Sales of such Licensed Product in a given Calendar Year in the Territory by Century and Sublicensees. For clarity, the milestone payments listed below shall be made only once for each Licensed Product upon the first achievement of each relevant milestone by such Licensed Product regardless of the number of Calendar Years in which such Licensed Product achieves any particular milestone.</w:t>
      </w:r>
    </w:p>
    <w:p>
      <w:pPr>
        <w:spacing w:after="0" w:line="185" w:lineRule="exact"/>
        <w:rPr>
          <w:sz w:val="20"/>
          <w:szCs w:val="20"/>
          <w:color w:val="auto"/>
        </w:rPr>
      </w:pPr>
    </w:p>
    <w:tbl>
      <w:tblPr>
        <w:tblLayout w:type="fixed"/>
        <w:tblInd w:w="930" w:type="dxa"/>
        <w:tblCellMar>
          <w:top w:w="0" w:type="dxa"/>
          <w:left w:w="0" w:type="dxa"/>
          <w:bottom w:w="0" w:type="dxa"/>
          <w:right w:w="0" w:type="dxa"/>
        </w:tblCellMar>
      </w:tblPr>
      <w:tr>
        <w:trPr>
          <w:trHeight w:val="370"/>
        </w:trPr>
        <w:tc>
          <w:tcPr>
            <w:tcW w:w="4540" w:type="dxa"/>
            <w:vAlign w:val="bottom"/>
            <w:tcBorders>
              <w:top w:val="single" w:sz="8" w:color="auto"/>
              <w:left w:val="single" w:sz="8" w:color="auto"/>
              <w:bottom w:val="single" w:sz="8" w:color="BFBFBF"/>
              <w:right w:val="single" w:sz="8" w:color="auto"/>
            </w:tcBorders>
            <w:shd w:val="clear" w:color="auto" w:fill="BFBFBF"/>
          </w:tcPr>
          <w:p>
            <w:pPr>
              <w:jc w:val="right"/>
              <w:ind w:right="1932"/>
              <w:spacing w:after="0"/>
              <w:rPr>
                <w:sz w:val="20"/>
                <w:szCs w:val="20"/>
                <w:color w:val="auto"/>
              </w:rPr>
            </w:pPr>
            <w:r>
              <w:rPr>
                <w:rFonts w:ascii="Times New Roman" w:cs="Times New Roman" w:eastAsia="Times New Roman" w:hAnsi="Times New Roman"/>
                <w:sz w:val="22"/>
                <w:szCs w:val="22"/>
                <w:color w:val="auto"/>
              </w:rPr>
              <w:t>[***]</w:t>
            </w:r>
          </w:p>
        </w:tc>
        <w:tc>
          <w:tcPr>
            <w:tcW w:w="2640" w:type="dxa"/>
            <w:vAlign w:val="bottom"/>
            <w:tcBorders>
              <w:top w:val="single" w:sz="8" w:color="auto"/>
              <w:bottom w:val="single" w:sz="8" w:color="BFBFBF"/>
              <w:right w:val="single" w:sz="8" w:color="auto"/>
            </w:tcBorders>
            <w:shd w:val="clear" w:color="auto" w:fill="BFBFBF"/>
          </w:tcPr>
          <w:p>
            <w:pPr>
              <w:jc w:val="right"/>
              <w:ind w:right="992"/>
              <w:spacing w:after="0"/>
              <w:rPr>
                <w:sz w:val="20"/>
                <w:szCs w:val="20"/>
                <w:color w:val="auto"/>
              </w:rPr>
            </w:pPr>
            <w:r>
              <w:rPr>
                <w:rFonts w:ascii="Times New Roman" w:cs="Times New Roman" w:eastAsia="Times New Roman" w:hAnsi="Times New Roman"/>
                <w:sz w:val="22"/>
                <w:szCs w:val="22"/>
                <w:color w:val="auto"/>
              </w:rPr>
              <w:t>[***]</w:t>
            </w:r>
          </w:p>
        </w:tc>
      </w:tr>
      <w:tr>
        <w:trPr>
          <w:trHeight w:val="236"/>
        </w:trPr>
        <w:tc>
          <w:tcPr>
            <w:tcW w:w="4540" w:type="dxa"/>
            <w:vAlign w:val="bottom"/>
            <w:tcBorders>
              <w:top w:val="single" w:sz="8" w:color="auto"/>
              <w:left w:val="single" w:sz="8" w:color="auto"/>
              <w:bottom w:val="single" w:sz="8" w:color="auto"/>
              <w:right w:val="single" w:sz="8" w:color="auto"/>
            </w:tcBorders>
          </w:tcPr>
          <w:p>
            <w:pPr>
              <w:jc w:val="right"/>
              <w:ind w:right="19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40" w:type="dxa"/>
            <w:vAlign w:val="bottom"/>
            <w:tcBorders>
              <w:top w:val="single" w:sz="8" w:color="auto"/>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540" w:type="dxa"/>
            <w:vAlign w:val="bottom"/>
            <w:tcBorders>
              <w:left w:val="single" w:sz="8" w:color="auto"/>
              <w:bottom w:val="single" w:sz="8" w:color="auto"/>
              <w:right w:val="single" w:sz="8" w:color="auto"/>
            </w:tcBorders>
          </w:tcPr>
          <w:p>
            <w:pPr>
              <w:jc w:val="right"/>
              <w:ind w:right="19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540" w:type="dxa"/>
            <w:vAlign w:val="bottom"/>
            <w:tcBorders>
              <w:left w:val="single" w:sz="8" w:color="auto"/>
              <w:bottom w:val="single" w:sz="8" w:color="auto"/>
              <w:right w:val="single" w:sz="8" w:color="auto"/>
            </w:tcBorders>
          </w:tcPr>
          <w:p>
            <w:pPr>
              <w:jc w:val="right"/>
              <w:ind w:right="19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4540" w:type="dxa"/>
            <w:vAlign w:val="bottom"/>
            <w:tcBorders>
              <w:left w:val="single" w:sz="8" w:color="auto"/>
              <w:bottom w:val="single" w:sz="8" w:color="auto"/>
              <w:right w:val="single" w:sz="8" w:color="auto"/>
            </w:tcBorders>
          </w:tcPr>
          <w:p>
            <w:pPr>
              <w:jc w:val="right"/>
              <w:ind w:right="1932"/>
              <w:spacing w:after="0" w:line="237" w:lineRule="exact"/>
              <w:rPr>
                <w:sz w:val="20"/>
                <w:szCs w:val="20"/>
                <w:color w:val="auto"/>
              </w:rPr>
            </w:pPr>
            <w:r>
              <w:rPr>
                <w:rFonts w:ascii="Times New Roman" w:cs="Times New Roman" w:eastAsia="Times New Roman" w:hAnsi="Times New Roman"/>
                <w:sz w:val="22"/>
                <w:szCs w:val="22"/>
                <w:color w:val="auto"/>
              </w:rPr>
              <w:t>[***]</w:t>
            </w:r>
          </w:p>
        </w:tc>
        <w:tc>
          <w:tcPr>
            <w:tcW w:w="2640" w:type="dxa"/>
            <w:vAlign w:val="bottom"/>
            <w:tcBorders>
              <w:bottom w:val="single" w:sz="8" w:color="auto"/>
              <w:right w:val="single" w:sz="8" w:color="auto"/>
            </w:tcBorders>
          </w:tcPr>
          <w:p>
            <w:pPr>
              <w:jc w:val="right"/>
              <w:ind w:right="99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03" w:lineRule="exact"/>
        <w:rPr>
          <w:sz w:val="20"/>
          <w:szCs w:val="20"/>
          <w:color w:val="auto"/>
        </w:rPr>
      </w:pPr>
    </w:p>
    <w:p>
      <w:pPr>
        <w:ind w:left="200" w:right="2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4.4 Notice of Event Milestone Achievement</w:t>
      </w:r>
      <w:r>
        <w:rPr>
          <w:rFonts w:ascii="Times New Roman" w:cs="Times New Roman" w:eastAsia="Times New Roman" w:hAnsi="Times New Roman"/>
          <w:sz w:val="20"/>
          <w:szCs w:val="20"/>
          <w:color w:val="auto"/>
        </w:rPr>
        <w:t>. Century shall notify CDI in writing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 Business Days following the achievement of each milestone event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319405</wp:posOffset>
            </wp:positionV>
            <wp:extent cx="545211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9" w:name="page230"/>
    <w:bookmarkEnd w:id="229"/>
    <w:p>
      <w:pPr>
        <w:jc w:val="both"/>
        <w:ind w:left="200" w:right="219" w:firstLine="9"/>
        <w:spacing w:after="0" w:line="246" w:lineRule="auto"/>
        <w:tabs>
          <w:tab w:leader="none" w:pos="6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of the end of the Calendar Year in which any milestone event set forth in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is achieved. For clarity, in such notice, Century shall identify each particular milestone event that was achieved by reference to its description in this Agreement and, with respect to a milestone event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Century shall state whether Licensee or its Sublicensee achieved the event and, if the milestone event was achieved by a Sublicensee, the name of such Sublicensee.</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4.5 Royalty Rate for Licensed Products Developed and Commercialized by Century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Century shall pay CDI a non-refundable and non-creditable royalty based on Net Sales of Licensed Products sold by Century or its Sublicensees, on a Licensed Product-by-Licensed Product and country-by-country basis for each Calendar Year according to the following schedule:</w:t>
      </w:r>
    </w:p>
    <w:p>
      <w:pPr>
        <w:spacing w:after="0" w:line="180" w:lineRule="exact"/>
        <w:rPr>
          <w:sz w:val="20"/>
          <w:szCs w:val="20"/>
          <w:color w:val="auto"/>
        </w:rPr>
      </w:pPr>
    </w:p>
    <w:p>
      <w:pPr>
        <w:jc w:val="both"/>
        <w:ind w:left="200" w:right="219" w:firstLine="1305"/>
        <w:spacing w:after="0" w:line="249" w:lineRule="auto"/>
        <w:tabs>
          <w:tab w:leader="none" w:pos="2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on Annual Net Sales for a Licensed Product in countries where a Valid Patent Claim of a Licensed Patent Right Covering the manufacture, use or sale of a Licensed Product exists or in countries where the Licensed Product being sold is imported from a country where a Valid Patent Claim of a Licensed Patent Right Covering the manufacture of a Licensed Product exists; and</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countries where no Valid Patent Claim of a Licensed Patent Right Covering the manufacture, use or sale of a Licensed Product exists and where the Licensed Product being sold is imported from a country where no Valid Patent Claim of a Licensed Patent Right Covering the manufacture of a Licensed Product exists, [***] on Annual Net Sales for all Licensed Products the manufacture of which utilizes Licensed Know-How.</w:t>
      </w:r>
    </w:p>
    <w:p>
      <w:pPr>
        <w:spacing w:after="0" w:line="184"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this section, “Annual Net Sales” will be determined on a</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Year basis.</w:t>
      </w:r>
    </w:p>
    <w:p>
      <w:pPr>
        <w:spacing w:after="0" w:line="19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4.6 Third Party Patents</w:t>
      </w:r>
      <w:r>
        <w:rPr>
          <w:rFonts w:ascii="Times New Roman" w:cs="Times New Roman" w:eastAsia="Times New Roman" w:hAnsi="Times New Roman"/>
          <w:sz w:val="20"/>
          <w:szCs w:val="20"/>
          <w:color w:val="auto"/>
        </w:rPr>
        <w:t>. If a Patent of a Third Party should exist in any country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 of this Agreement Covering the manufacture, use or sale of any Licensed Product, and if it should prove in Century’s reasonable judgment (as supported by an opinion from outside patent counsel which counsel is acceptable to both Parties) necessary to avoid infringement of such Patent for Century to make, have made, use, have used, sell, offer for sale, import, and otherwise Exploit Licensed Products in said country, then Century shall be entitled to a credit against the royalty payments due hereunder of an amount equal to [***] of the royalty paid to such Third Party, not to exceed [***] of the royalty due under clause (a) of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of this Agreement, arising from the manufacture, use or sale of the Licensed Product in said country.</w:t>
      </w:r>
    </w:p>
    <w:p>
      <w:pPr>
        <w:spacing w:after="0" w:line="18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4.7 Compulsory License</w:t>
      </w:r>
      <w:r>
        <w:rPr>
          <w:rFonts w:ascii="Times New Roman" w:cs="Times New Roman" w:eastAsia="Times New Roman" w:hAnsi="Times New Roman"/>
          <w:sz w:val="20"/>
          <w:szCs w:val="20"/>
          <w:color w:val="auto"/>
        </w:rPr>
        <w:t>. If at any time and from time to time a Third Party in any country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under the right of a compulsory license granted or ordered to be granted by a competent governmental authority, manufacture, use or sell any Licensed Product, with respect to which royalties would be payable pursuant to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hereof, then Century may reduce the royalty on sales in such country of such Licensed Product to the rate of [***].</w:t>
      </w:r>
    </w:p>
    <w:p>
      <w:pPr>
        <w:spacing w:after="0" w:line="18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4.8 Currency Restrictions</w:t>
      </w:r>
      <w:r>
        <w:rPr>
          <w:rFonts w:ascii="Times New Roman" w:cs="Times New Roman" w:eastAsia="Times New Roman" w:hAnsi="Times New Roman"/>
          <w:sz w:val="20"/>
          <w:szCs w:val="20"/>
          <w:color w:val="auto"/>
        </w:rPr>
        <w:t>. Except as expressly provided otherwise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royalties shall be paid in U.S. Dollars. If, at any time, legal restrictions prevent the prompt remittance of part of or all of the royalties with respect to any country where Licensed Products are sold, Century shall have the right and option to make such payments by depositing the amount thereof in local currency to GDI’s accounts in a bank or depository in such country.</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4.9 Royalty Period</w:t>
      </w:r>
      <w:r>
        <w:rPr>
          <w:rFonts w:ascii="Times New Roman" w:cs="Times New Roman" w:eastAsia="Times New Roman" w:hAnsi="Times New Roman"/>
          <w:sz w:val="20"/>
          <w:szCs w:val="20"/>
          <w:color w:val="auto"/>
        </w:rPr>
        <w:t>. The royalty payments set forth above shall be payable for each 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on a Licensed Product-by-Licensed Product and country-by-country basis from the date of First Commercial Sale of such Licensed Product in such country until the later of: (a) [***] years from the date of First Commercial Sale after first Regulatory Approval of a Licensed Product in such country; (b)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0" w:name="page231"/>
    <w:bookmarkEnd w:id="230"/>
    <w:p>
      <w:pPr>
        <w:jc w:val="both"/>
        <w:ind w:left="200" w:right="219"/>
        <w:spacing w:after="0" w:line="243" w:lineRule="auto"/>
        <w:rPr>
          <w:sz w:val="20"/>
          <w:szCs w:val="20"/>
          <w:color w:val="auto"/>
        </w:rPr>
      </w:pPr>
      <w:r>
        <w:rPr>
          <w:rFonts w:ascii="Times New Roman" w:cs="Times New Roman" w:eastAsia="Times New Roman" w:hAnsi="Times New Roman"/>
          <w:sz w:val="20"/>
          <w:szCs w:val="20"/>
          <w:color w:val="auto"/>
        </w:rPr>
        <w:t xml:space="preserve">the last to expire of any Valid Patent Claim of a Licensed Patent Right encompassing the making, using, selling, offering for sale or importing of the Licensed Product; or (c) the date on which any applicable regulatory, pediatric, orphan drug or data exclusivity expires in such country (such period, the “Royalty Term”). Once Century has paid CDI for the full term of the periods of time set forth in (a), (b) and (c) in the immediately preceding sentence for a Licensed Product on a country-by-country basis, it shall have a perpetual, paid up, no fee, royalty-free license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under Licensed Know-How for such Licensed Product in such country notwithstanding any changes, improvements, or modifications thereafter made to such Licensed Product.</w:t>
      </w:r>
    </w:p>
    <w:p>
      <w:pPr>
        <w:spacing w:after="0" w:line="184"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4.10 Notice of First Commercial Sale</w:t>
      </w:r>
      <w:r>
        <w:rPr>
          <w:rFonts w:ascii="Times New Roman" w:cs="Times New Roman" w:eastAsia="Times New Roman" w:hAnsi="Times New Roman"/>
          <w:sz w:val="20"/>
          <w:szCs w:val="20"/>
          <w:color w:val="auto"/>
        </w:rPr>
        <w:t>. Century shall notify CDI in writing of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 Sale in each country within the Territory within [***] Business Days following the occurrence thereof.</w:t>
      </w:r>
    </w:p>
    <w:p>
      <w:pPr>
        <w:spacing w:after="0" w:line="16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4.11 Quarterly Royalty Reports</w:t>
      </w:r>
      <w:r>
        <w:rPr>
          <w:rFonts w:ascii="Times New Roman" w:cs="Times New Roman" w:eastAsia="Times New Roman" w:hAnsi="Times New Roman"/>
          <w:sz w:val="20"/>
          <w:szCs w:val="20"/>
          <w:color w:val="auto"/>
        </w:rPr>
        <w:t>. Within [***] days after the Calendar Quarter in which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First Commercial Sale occurs, and within [***] days after each Calendar Quarter thereafter, Century shall deliver to CDI a written report setting forth, on a Licensed Product-by-Licensed Product and country-by-country basis, the Net Sales of each Licensed Product during such Calendar Quarter, the applicable gross amounts invoiced, and the allowable deductions taken against such gross amounts in accordance with the definition of “Net Sales” to arrive at Net Sales, the relevant royalty rate, the amount of any adjustment to the royalty amount otherwise payable hereunder is made pursuant to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and the name of the Third Party to which royalty was paid as the basis for such adjustment, the country of manufacture of each Licensed Product, and the royalty payment due and payable hereunder with respect to such Net Sales or stating that no royalty payment is due with respect to such Calendar Quarter.</w:t>
      </w:r>
    </w:p>
    <w:p>
      <w:pPr>
        <w:spacing w:after="0" w:line="18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4.12 Timing and Nature of Payments</w:t>
      </w:r>
      <w:r>
        <w:rPr>
          <w:rFonts w:ascii="Times New Roman" w:cs="Times New Roman" w:eastAsia="Times New Roman" w:hAnsi="Times New Roman"/>
          <w:sz w:val="20"/>
          <w:szCs w:val="20"/>
          <w:color w:val="auto"/>
        </w:rPr>
        <w:t>. Century shall pay to CDI the appropriate milestone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 within [***] calendar days after achievement of each milestone event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within [***] calendar days after the end of the Calendar Year in which each milestone event set forth in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was achieved. Century shall pay to CDI royalty payments by the date on which the report setting forth such royalty payment is due to be provided by Century to CDI in accordance with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Century shall be responsible for all payments that are due to CDI but have not been paid by Century’s Sublicensees or Commercialization partners.</w:t>
      </w:r>
    </w:p>
    <w:p>
      <w:pPr>
        <w:spacing w:after="0" w:line="17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4.13 Mode of Payment</w:t>
      </w:r>
      <w:r>
        <w:rPr>
          <w:rFonts w:ascii="Times New Roman" w:cs="Times New Roman" w:eastAsia="Times New Roman" w:hAnsi="Times New Roman"/>
          <w:sz w:val="20"/>
          <w:szCs w:val="20"/>
          <w:color w:val="auto"/>
        </w:rPr>
        <w:t>. All payments to CDI hereunder shall be made by wire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immediately available funds in the requisite amount in the appropriate currency in accordance with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without deduction of exchange, collection, wiring fees, bank fees, or any other charges, to the account designated by CDI; provided, however, that any notice by CDI of a change in such account shall not be effective until [***] days after receipt thereof by Century.</w:t>
      </w:r>
    </w:p>
    <w:p>
      <w:pPr>
        <w:spacing w:after="0" w:line="18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4.14 Financial Records</w:t>
      </w:r>
      <w:r>
        <w:rPr>
          <w:rFonts w:ascii="Times New Roman" w:cs="Times New Roman" w:eastAsia="Times New Roman" w:hAnsi="Times New Roman"/>
          <w:sz w:val="20"/>
          <w:szCs w:val="20"/>
          <w:color w:val="auto"/>
        </w:rPr>
        <w:t>. Century shall keep accurate and complete books and records,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including, without limitation, of gross invoiced sales, Net Sales, and royalty payments, and license agreements with third parties for which adjustments to the royalty paid hereunder are made, in sufficient detail to enable CDI to determine and verify the accuracy and completeness of the reports delivered to CDI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and the amounts due hereunder to CDI (“</w:t>
      </w:r>
      <w:r>
        <w:rPr>
          <w:rFonts w:ascii="Times New Roman" w:cs="Times New Roman" w:eastAsia="Times New Roman" w:hAnsi="Times New Roman"/>
          <w:sz w:val="20"/>
          <w:szCs w:val="20"/>
          <w:b w:val="1"/>
          <w:bCs w:val="1"/>
          <w:color w:val="auto"/>
        </w:rPr>
        <w:t>Financial Records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4.15 Currency Exchange</w:t>
      </w:r>
      <w:r>
        <w:rPr>
          <w:rFonts w:ascii="Times New Roman" w:cs="Times New Roman" w:eastAsia="Times New Roman" w:hAnsi="Times New Roman"/>
          <w:sz w:val="20"/>
          <w:szCs w:val="20"/>
          <w:color w:val="auto"/>
        </w:rPr>
        <w:t>. In the case of Net Sales of any Licensed Product invoiced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currency other than U.S. Dollars, such Net Sales shall be calculated and reported in, and royalty payments by Century to CDI with respect thereto shall be converted to, U.S. Dollars in accordance with Century’s procedures that are generally applied by Century for calculating and making such currency conversions; provided that such procedures are in compliance with generally accepting accounting principles then in effect in the United States and are the same procedures that Century uses in preparing its audited financial statements, consistently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1" w:name="page232"/>
    <w:bookmarkEnd w:id="231"/>
    <w:p>
      <w:pPr>
        <w:jc w:val="both"/>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4.16 Audit and Financial Records</w:t>
      </w:r>
      <w:r>
        <w:rPr>
          <w:rFonts w:ascii="Times New Roman" w:cs="Times New Roman" w:eastAsia="Times New Roman" w:hAnsi="Times New Roman"/>
          <w:sz w:val="20"/>
          <w:szCs w:val="20"/>
          <w:color w:val="auto"/>
        </w:rPr>
        <w:t>. Financial Records under this Agreement shall be open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examination during reasonable business hours for a period of [***] years from creation of individual records. Upon the written request of CDI but not more often than once each year, at CDI’s expense, Century shall permit an independent public accounting firm of national prominence selected by CDI and reasonably acceptable to Century to have access during normal business hours to those records of Century as may be reasonably necessary for the sole purpose of verifying the accuracy and completeness of the reports delivered to CDI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and the amounts due hereunder to CDI. Century shall include in each Sublicense or Commercialization agreement entered into by it pursuant to this Agreement, a provision requiring, among others, the Sublicensee or Commercialization partner to keep and maintain adequate Financial Records pursuant to such Sublicense or Commercialization agreement and to grant access to such records by the aforementioned independent public accountant for the reasons specified in this Agreement. The report prepared by such independent public accounting firm, a copy of which shall be sent or otherwise provided to Century by such independent public accountant at the same time as it is sent or otherwise provided to CDI, shall contain the conclusions of such independent public accountant regarding the audit and will specify that the amounts paid to CDI pursuant thereto were correct or, if incorrect, the amount of any underpayment or overpayment. If such independent public accounting firm’s report shows any underpayment, Century shall remit or shall cause its Sublicensees or Commercialization partners to remit to CDI within [***] days after Century’s receipt of such report, (i) the amount of such underpayment and (ii) if such underpayment exceeds [***] of the total amount owed for the Calendar Year then being audited, the reasonable and necessary fees and expenses of such independent public accountant performing the audit, subject to reasonable substantiation thereof. If such independent public accounting firm’s report shows any overpayment, Century shall receive a credit equal to such overpayment against the royalty otherwise payable to CDI.</w:t>
      </w:r>
    </w:p>
    <w:p>
      <w:pPr>
        <w:spacing w:after="0" w:line="204"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19"/>
          <w:szCs w:val="19"/>
          <w:b w:val="1"/>
          <w:bCs w:val="1"/>
          <w:color w:val="auto"/>
        </w:rPr>
        <w:t>4.17 Interest Due</w:t>
      </w:r>
      <w:r>
        <w:rPr>
          <w:rFonts w:ascii="Times New Roman" w:cs="Times New Roman" w:eastAsia="Times New Roman" w:hAnsi="Times New Roman"/>
          <w:sz w:val="19"/>
          <w:szCs w:val="19"/>
          <w:color w:val="auto"/>
        </w:rPr>
        <w:t>. In case of any delay in payment by Century to CDI, interest on the overdue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payment shall accrue from the date when payment first became due until the date on which the late payment is made to CDI at an annual interest rate, compounded monthly, equal to the prime rate as reported in The Wall Street Journal, as determined for each month on the last business day of that month, assessed from the day payment was initially due. The foregoing interest shall be due from Century without any special notice.</w:t>
      </w:r>
    </w:p>
    <w:p>
      <w:pPr>
        <w:spacing w:after="0" w:line="16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4.18</w:t>
      </w:r>
      <w:r>
        <w:rPr>
          <w:sz w:val="20"/>
          <w:szCs w:val="20"/>
          <w:color w:val="auto"/>
        </w:rPr>
        <w:tab/>
      </w:r>
      <w:r>
        <w:rPr>
          <w:rFonts w:ascii="Times New Roman" w:cs="Times New Roman" w:eastAsia="Times New Roman" w:hAnsi="Times New Roman"/>
          <w:sz w:val="19"/>
          <w:szCs w:val="19"/>
          <w:b w:val="1"/>
          <w:bCs w:val="1"/>
          <w:color w:val="auto"/>
        </w:rPr>
        <w:t>Tax Withholding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right="239" w:firstLine="1305"/>
        <w:spacing w:after="0" w:line="254"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Century will make all payments to CDI under this Agreement without deduction or withholding for taxes except to the extent that any such deduction or withholding is required by law in effect at the time of payment.</w:t>
      </w:r>
    </w:p>
    <w:p>
      <w:pPr>
        <w:spacing w:after="0" w:line="174"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required to be withheld on amounts payable under this Agreement will promptly be paid by Century on behalf of CDI to the appropriate governmental authority, and Century will furnish CDI with proof of payment of such tax. Any such tax required to be withheld will be an expense of and borne by CDI.</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Century and CDI will cooperate with respect to all documentation required by any taxing authority or reasonably requested by Century to secure a reduction in the rate of applicable withholding taxes.</w:t>
      </w:r>
    </w:p>
    <w:p>
      <w:pPr>
        <w:spacing w:after="0" w:line="174"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Century had a duty to withhold taxes in connection with any payment it made to CDI under this Agreement but Century failed to withhold, and such taxes were assessed against and paid by Century, then CDI will indemnify and hold harmless Century from and against such taxes (including interest). If Century makes a claim under this </w:t>
      </w:r>
      <w:r>
        <w:rPr>
          <w:rFonts w:ascii="Times New Roman" w:cs="Times New Roman" w:eastAsia="Times New Roman" w:hAnsi="Times New Roman"/>
          <w:sz w:val="20"/>
          <w:szCs w:val="20"/>
          <w:u w:val="single" w:color="auto"/>
          <w:color w:val="auto"/>
        </w:rPr>
        <w:t>Section 4.18(d)</w:t>
      </w:r>
      <w:r>
        <w:rPr>
          <w:rFonts w:ascii="Times New Roman" w:cs="Times New Roman" w:eastAsia="Times New Roman" w:hAnsi="Times New Roman"/>
          <w:sz w:val="20"/>
          <w:szCs w:val="20"/>
          <w:color w:val="auto"/>
        </w:rPr>
        <w:t xml:space="preserve">, it will comply with the obligations imposed by this </w:t>
      </w:r>
      <w:r>
        <w:rPr>
          <w:rFonts w:ascii="Times New Roman" w:cs="Times New Roman" w:eastAsia="Times New Roman" w:hAnsi="Times New Roman"/>
          <w:sz w:val="20"/>
          <w:szCs w:val="20"/>
          <w:u w:val="single" w:color="auto"/>
          <w:color w:val="auto"/>
        </w:rPr>
        <w:t>Section 4.18(b)</w:t>
      </w:r>
      <w:r>
        <w:rPr>
          <w:rFonts w:ascii="Times New Roman" w:cs="Times New Roman" w:eastAsia="Times New Roman" w:hAnsi="Times New Roman"/>
          <w:sz w:val="20"/>
          <w:szCs w:val="20"/>
          <w:color w:val="auto"/>
        </w:rPr>
        <w:t xml:space="preserve"> as if Century had withheld taxes from a payment to CDI.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2" w:name="page233"/>
    <w:bookmarkEnd w:id="23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Intellectual Property Protection and Related Matters</w:t>
      </w:r>
    </w:p>
    <w:p>
      <w:pPr>
        <w:spacing w:after="0" w:line="19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5.1 Ownership</w:t>
      </w:r>
      <w:r>
        <w:rPr>
          <w:rFonts w:ascii="Times New Roman" w:cs="Times New Roman" w:eastAsia="Times New Roman" w:hAnsi="Times New Roman"/>
          <w:sz w:val="20"/>
          <w:szCs w:val="20"/>
          <w:color w:val="auto"/>
        </w:rPr>
        <w:t>. As between the Parties, each Party or its Affiliates shall solely own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Intellectual Property, including Patent Rights related thereto, made, conceived, reduced to practice, or otherwise discovered, whether prior to, on or after the Effective Date, solely by employees, agents and consultants of such Party or its Affiliates. For purposes of determining ownership under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inventorship shall be determined in accordance with the rules of inventorship under U.S. patent laws.</w:t>
      </w:r>
    </w:p>
    <w:p>
      <w:pPr>
        <w:spacing w:after="0" w:line="18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5.2 Prosecution and Maintenance of Licensed Patent Rights</w:t>
      </w:r>
      <w:r>
        <w:rPr>
          <w:rFonts w:ascii="Times New Roman" w:cs="Times New Roman" w:eastAsia="Times New Roman" w:hAnsi="Times New Roman"/>
          <w:sz w:val="20"/>
          <w:szCs w:val="20"/>
          <w:color w:val="auto"/>
        </w:rPr>
        <w:t>. As between the Parties, CDI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sole and exclusive right, but not the obligation, to Prosecute and Maintain, in its absolute and sole discretion, all Licensed Patent Rights worldwide within the Field. As between the Parties, Century shall have the sole and exclusive right, but not the obligation, to Prosecute and Maintain, in its absolute and sole discretion, all Century Patent Rights worldwide.</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Third Party Infringement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right="219" w:firstLine="1305"/>
        <w:spacing w:after="0" w:line="244"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notify the other Party promptly of any knowledge it acquires of any actual or potential infringements of the Licensed Patent Rights with respect to any activities of a Third Party in the Field in any country in the world and of any actual or potential infringements of the Century Patent Rights with respect to any activities of a Third Party in any country in the world and shall provide the other Party with all available evidence regarding such known or suspected infringement or unauthorized use. Notwithstanding any provision to the contrary, CDI is not obligated to enforce the Licensed Patent Rights against such Third Party.</w:t>
      </w:r>
    </w:p>
    <w:p>
      <w:pPr>
        <w:spacing w:after="0" w:line="185"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CDI shall have the sole and exclusive right, but not the obligation, to enforce the Licensed Patent Rights against any such Third Party. As between the Parties, Century shall have the sole and exclusive right, but not the obligation, to enforce the Century Patent Rights against any such Third Party.</w:t>
      </w:r>
    </w:p>
    <w:p>
      <w:pPr>
        <w:spacing w:after="0" w:line="17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5.4 Patent Invalidity Claim</w:t>
      </w:r>
      <w:r>
        <w:rPr>
          <w:rFonts w:ascii="Times New Roman" w:cs="Times New Roman" w:eastAsia="Times New Roman" w:hAnsi="Times New Roman"/>
          <w:sz w:val="20"/>
          <w:szCs w:val="20"/>
          <w:color w:val="auto"/>
        </w:rPr>
        <w:t>. During the Term, each Party shall promptly notify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in the event of any legal or administrative action by any Third Party against a Licensed Patent Right of which such Party becomes aware, including any nullity, revocation, reexamination or compulsory license proceeding or similar proceeding.</w:t>
      </w:r>
    </w:p>
    <w:p>
      <w:pPr>
        <w:spacing w:after="0" w:line="17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5.5 Patent Term Extensions</w:t>
      </w:r>
      <w:r>
        <w:rPr>
          <w:rFonts w:ascii="Times New Roman" w:cs="Times New Roman" w:eastAsia="Times New Roman" w:hAnsi="Times New Roman"/>
          <w:sz w:val="20"/>
          <w:szCs w:val="20"/>
          <w:color w:val="auto"/>
        </w:rPr>
        <w:t>. As between the Parties, CDI shall have the sole right to obtain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patent term extensions or supplemental protection certificates or their equivalents with respect to any Licensed Patent Right in the Field in any country worldwide, and Century shall reasonably cooperate with CDI in connection therewith.</w:t>
      </w:r>
    </w:p>
    <w:p>
      <w:pPr>
        <w:spacing w:after="0" w:line="176" w:lineRule="exact"/>
        <w:rPr>
          <w:sz w:val="20"/>
          <w:szCs w:val="20"/>
          <w:color w:val="auto"/>
        </w:rPr>
      </w:pPr>
    </w:p>
    <w:p>
      <w:pPr>
        <w:jc w:val="both"/>
        <w:ind w:left="200" w:right="2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5.6 Patent Marking</w:t>
      </w:r>
      <w:r>
        <w:rPr>
          <w:rFonts w:ascii="Times New Roman" w:cs="Times New Roman" w:eastAsia="Times New Roman" w:hAnsi="Times New Roman"/>
          <w:sz w:val="20"/>
          <w:szCs w:val="20"/>
          <w:color w:val="auto"/>
        </w:rPr>
        <w:t>. Century shall comply with the patent marking statutes in each country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Licensed Products are sold by or on behalf of Century and/or its Affiliates or Sublicensees.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Confidentiality</w:t>
      </w:r>
    </w:p>
    <w:p>
      <w:pPr>
        <w:spacing w:after="0" w:line="19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6.1 Confidential Obligations</w:t>
      </w:r>
      <w:r>
        <w:rPr>
          <w:rFonts w:ascii="Times New Roman" w:cs="Times New Roman" w:eastAsia="Times New Roman" w:hAnsi="Times New Roman"/>
          <w:sz w:val="20"/>
          <w:szCs w:val="20"/>
          <w:color w:val="auto"/>
        </w:rPr>
        <w:t>. Each Party shall (a) maintain in strict confidence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below), and (c) not use such Confidential Information for any purpose except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545211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3" w:name="page234"/>
    <w:bookmarkEnd w:id="233"/>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 xml:space="preserve">expressly permitted by this Agreement. The obligations of confidentiality, non-disclosure and non-use under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shall be in full force during the Term and for a period for [***] years thereafter. Each Party, upon the request of the other Party, will return all copies of or destroy (and certify such destruction in writing) the Confidential Information disclosed or transferred to it by the other Party pursuant to this Agreement, within [***] days of such request or, if earlier, the termination or expiration of this Agreement; provided, however that a Party may retain (i) Confidential Information of the other Party which expressly survives such termination pursuant to this Agreement, and (ii) one (1) copy of all other Confidential Information in archives solely for the purpose of establishing the contents thereof; provided, further, that a Party is not required to return or destroy Confidential Information contained in electronic back-ups unless and until such Confidential Information is accessed.</w:t>
      </w:r>
    </w:p>
    <w:p>
      <w:pPr>
        <w:spacing w:after="0" w:line="187"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6.2 Exceptions to Confidentiality</w:t>
      </w:r>
      <w:r>
        <w:rPr>
          <w:rFonts w:ascii="Times New Roman" w:cs="Times New Roman" w:eastAsia="Times New Roman" w:hAnsi="Times New Roman"/>
          <w:sz w:val="20"/>
          <w:szCs w:val="20"/>
          <w:color w:val="auto"/>
        </w:rPr>
        <w:t>. Notwithstanding the foregoing, the obligations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confidentiality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shall not apply to information that, in each case as demonstrated by competent written documentation:</w:t>
      </w:r>
    </w:p>
    <w:p>
      <w:pPr>
        <w:spacing w:after="0" w:line="173" w:lineRule="exact"/>
        <w:rPr>
          <w:sz w:val="20"/>
          <w:szCs w:val="20"/>
          <w:color w:val="auto"/>
        </w:rPr>
      </w:pPr>
    </w:p>
    <w:p>
      <w:pPr>
        <w:ind w:left="200" w:right="239" w:firstLine="1305"/>
        <w:spacing w:after="0" w:line="269"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publicly disclosed or made generally available to the public by the disclosing Party, either before or after it becomes known to the receiving Party;</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known to the receiving Party, without any obligation to keep it confidential, prior to the date of first disclosure by the disclosing Party to the receiving Party, as shown by the receiving Party’s files and records;</w:t>
      </w:r>
    </w:p>
    <w:p>
      <w:pPr>
        <w:spacing w:after="0" w:line="174" w:lineRule="exact"/>
        <w:rPr>
          <w:rFonts w:ascii="Times New Roman" w:cs="Times New Roman" w:eastAsia="Times New Roman" w:hAnsi="Times New Roman"/>
          <w:sz w:val="20"/>
          <w:szCs w:val="20"/>
          <w:color w:val="auto"/>
        </w:rPr>
      </w:pPr>
    </w:p>
    <w:p>
      <w:pPr>
        <w:jc w:val="both"/>
        <w:ind w:left="200" w:right="239" w:firstLine="1305"/>
        <w:spacing w:after="0" w:line="254"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subsequently disclosed to the receiving Party by a Third Party lawfully in possession thereof without obligation to keep it confidential and without a breach of such Third Party’s obligations of confidentiality;</w:t>
      </w:r>
    </w:p>
    <w:p>
      <w:pPr>
        <w:spacing w:after="0" w:line="174"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publicly disclosed or made generally available to the public other than through any act or omission of the receiving Party or its Affiliates or their subcontractors or Sublicensees in breach of this Agreement; or</w:t>
      </w:r>
    </w:p>
    <w:p>
      <w:pPr>
        <w:spacing w:after="0" w:line="174"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independently developed by the receiving Party without the aid, application or use of the disclosing Party’s Confidential Information (the competent written proof of which must be contemporaneous with such independent development).</w:t>
      </w:r>
    </w:p>
    <w:p>
      <w:pPr>
        <w:spacing w:after="0" w:line="17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6.3 Authorized Disclosure</w:t>
      </w:r>
      <w:r>
        <w:rPr>
          <w:rFonts w:ascii="Times New Roman" w:cs="Times New Roman" w:eastAsia="Times New Roman" w:hAnsi="Times New Roman"/>
          <w:sz w:val="20"/>
          <w:szCs w:val="20"/>
          <w:color w:val="auto"/>
        </w:rPr>
        <w:t>. 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a Party may disclose Confidential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of the other Party to the extent such disclosure is reasonably necessary in the following instances:</w:t>
      </w:r>
    </w:p>
    <w:p>
      <w:pPr>
        <w:spacing w:after="0" w:line="173" w:lineRule="exact"/>
        <w:rPr>
          <w:sz w:val="20"/>
          <w:szCs w:val="20"/>
          <w:color w:val="auto"/>
        </w:rPr>
      </w:pPr>
    </w:p>
    <w:p>
      <w:pPr>
        <w:jc w:val="both"/>
        <w:ind w:left="200" w:right="219" w:firstLine="1305"/>
        <w:spacing w:after="0" w:line="249" w:lineRule="auto"/>
        <w:tabs>
          <w:tab w:leader="none" w:pos="21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Prosecuting and Maintaining Patent Rights in accordance with this Agreement; provided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and making filings with Regulatory Authorities or otherwise complying with applicable Laws or submitting information to tax or other governmental authorities; provided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 and shall disclose only that portion of the Confidential Information which is legally required to be disclosed; for Regulatory Approval of Licensed Products or to research, develop, make, have made, use, have used,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4" w:name="page235"/>
    <w:bookmarkEnd w:id="234"/>
    <w:p>
      <w:pPr>
        <w:ind w:left="200" w:right="219"/>
        <w:spacing w:after="0" w:line="268" w:lineRule="auto"/>
        <w:rPr>
          <w:sz w:val="20"/>
          <w:szCs w:val="20"/>
          <w:color w:val="auto"/>
        </w:rPr>
      </w:pPr>
      <w:r>
        <w:rPr>
          <w:rFonts w:ascii="Times New Roman" w:cs="Times New Roman" w:eastAsia="Times New Roman" w:hAnsi="Times New Roman"/>
          <w:sz w:val="20"/>
          <w:szCs w:val="20"/>
          <w:color w:val="auto"/>
        </w:rPr>
        <w:t>to sell, sell, import, export, Commercialize or otherwise exploit Licensed Products in accordance with this Agreement;</w:t>
      </w:r>
    </w:p>
    <w:p>
      <w:pPr>
        <w:spacing w:after="0" w:line="161" w:lineRule="exact"/>
        <w:rPr>
          <w:sz w:val="20"/>
          <w:szCs w:val="20"/>
          <w:color w:val="auto"/>
        </w:rPr>
      </w:pPr>
    </w:p>
    <w:p>
      <w:pPr>
        <w:jc w:val="both"/>
        <w:ind w:left="200" w:right="219" w:firstLine="1305"/>
        <w:spacing w:after="0" w:line="243" w:lineRule="auto"/>
        <w:tabs>
          <w:tab w:leader="none" w:pos="2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6.4(c)</w:t>
      </w:r>
      <w:r>
        <w:rPr>
          <w:rFonts w:ascii="Times New Roman" w:cs="Times New Roman" w:eastAsia="Times New Roman" w:hAnsi="Times New Roman"/>
          <w:sz w:val="20"/>
          <w:szCs w:val="20"/>
          <w:color w:val="auto"/>
        </w:rPr>
        <w:t xml:space="preserve">, as applicable, to its Affiliates, and to prospective and actual acquirers, lenders, licensees, and sublicensees (including Sublicensees and CDI CDMO Customers), and to each of their employees, consultants, contractors, agents, accountants, lawyers, advisors, investors and underwriters, in each case only on a need to know basis, each of whom, in the case of Third Parties, prior to disclosure must be bound by written or professional ethical obligations of confidentiality and non-use equivalent in scope to those set forth in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and a disclosing Party shall be responsible for any breach of confidentiality by a receiving Party to which Confidential Information is disclosed under this </w:t>
      </w:r>
      <w:r>
        <w:rPr>
          <w:rFonts w:ascii="Times New Roman" w:cs="Times New Roman" w:eastAsia="Times New Roman" w:hAnsi="Times New Roman"/>
          <w:sz w:val="20"/>
          <w:szCs w:val="20"/>
          <w:u w:val="single" w:color="auto"/>
          <w:color w:val="auto"/>
        </w:rPr>
        <w:t>Section 6.3(c)</w:t>
      </w:r>
      <w:r>
        <w:rPr>
          <w:rFonts w:ascii="Times New Roman" w:cs="Times New Roman" w:eastAsia="Times New Roman" w:hAnsi="Times New Roman"/>
          <w:sz w:val="20"/>
          <w:szCs w:val="20"/>
          <w:color w:val="auto"/>
        </w:rPr>
        <w:t>; or</w:t>
      </w:r>
    </w:p>
    <w:p>
      <w:pPr>
        <w:spacing w:after="0" w:line="18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mutually agreed to in writing by the Parties.</w:t>
      </w:r>
    </w:p>
    <w:p>
      <w:pPr>
        <w:spacing w:after="0" w:line="21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Press Releases and Other Permitted Disclosures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right="219" w:firstLine="1305"/>
        <w:spacing w:after="0" w:line="241"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CDI and Century each agree not to disclose any of the terms and conditions of this Agreement to any Third Party, except as described below in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or as otherwise agreed in writing by the Parties. The Parties have agreed on a press release to be issued by each Party announcing this Agreement after the Effective Date in substantially the form set forth in Exhibit C; provided that the timing of the publication and release of such press release is in the sole discretion of an announcing Party. Each Party shall have the right to disclose the existence of this Agreement, including that the fact that such Party has received a license to the other Party’s Licensed Technology or Century Technology, as applicable without disclosing the Licensed Know-How or Century Know-How. Subject to the other provisions of this Agreement, no other press release, public statement or public disclosure concerning the existence or terms of this Agreement shall be made, either directly or indirectly, by either Party without the prior written approval of the other Party. If disclosure of the terms and conditions of this Agreement or its filing publicly is required by applicable Law or applicable stock exchange regulation, or by order or other ruling of a competent court or governmental authority, as set forth in </w:t>
      </w:r>
      <w:r>
        <w:rPr>
          <w:rFonts w:ascii="Times New Roman" w:cs="Times New Roman" w:eastAsia="Times New Roman" w:hAnsi="Times New Roman"/>
          <w:sz w:val="20"/>
          <w:szCs w:val="20"/>
          <w:u w:val="single" w:color="auto"/>
          <w:color w:val="auto"/>
        </w:rPr>
        <w:t>Section 6.4(d)</w:t>
      </w:r>
      <w:r>
        <w:rPr>
          <w:rFonts w:ascii="Times New Roman" w:cs="Times New Roman" w:eastAsia="Times New Roman" w:hAnsi="Times New Roman"/>
          <w:sz w:val="20"/>
          <w:szCs w:val="20"/>
          <w:color w:val="auto"/>
        </w:rPr>
        <w:t xml:space="preserve">, then CDI or Century or its respective Affiliates, as the case may be, may also disclose such terms or this Agreement in a public statement or disclosure subject to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 xml:space="preserve">. Once any public statement or public disclosure has been approved in accordance with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then either Party may appropriately communicate information contained in such permitted statement or disclosure.</w:t>
      </w:r>
    </w:p>
    <w:p>
      <w:pPr>
        <w:spacing w:after="0" w:line="191" w:lineRule="exact"/>
        <w:rPr>
          <w:rFonts w:ascii="Times New Roman" w:cs="Times New Roman" w:eastAsia="Times New Roman" w:hAnsi="Times New Roman"/>
          <w:sz w:val="20"/>
          <w:szCs w:val="20"/>
          <w:color w:val="auto"/>
        </w:rPr>
      </w:pPr>
    </w:p>
    <w:p>
      <w:pPr>
        <w:jc w:val="both"/>
        <w:ind w:left="200" w:right="219" w:firstLine="1305"/>
        <w:spacing w:after="0" w:line="242"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Century may disclose the terms and conditions of this Agreement to (i) its Affiliates, employees, consultants, agents or professional advisors (including attorneys, accountants and actual and prospective investment bankers), (ii) actual or potential investors, lenders, licensees, sublicensees, licensors or collaborators, or (iii) acquirers or merger partners that have entered into a letter of intent or are actively negotiating a definitive acquisition or merger agreement with Century; in each case under the foregoing clause (i), (ii) or (iii), under obligations of confidentiality at least as restrictive as those set forth herein, and solely in connection with Century performing its obligations or exercising its rights under this Agreement or for the purpose of assisting the recipient with evaluating and entering into a transaction with Century; provided, however, that Century shall redact financial terms from any such disclosure made to any actual or potential licensee, sublicensee or collaborator.</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44"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CDI may disclose the terms and conditions of this Agreement to (i) its Affiliates, employees, consultants, agents or professional advisors (including attorneys, accountants and actual and prospective investment bankers), (ii) actual or potential investors, lenders, licensees, sublicensees, or CDI CDMO Customers, or (iii) acquirers or merger partners that have entered into a letter of intent or are actively negotiating a definitive acquisition or merger agreement with CDI; in each case under the foregoing clause (i), (ii) or (iii), under obligations of confidentiality at least as restrictive as those set forth herein, and solely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5" w:name="page236"/>
    <w:bookmarkEnd w:id="235"/>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in connection with CDI performing its obligations or exercising its rights under this Agreement or for the purpose of assisting the recipient with evaluating and entering into a transaction with CDI; provided, however, that CDI shall redact financial terms from any such disclosure made to any actual or potential licensee, sublicensee or CDI CDMO Customer.</w:t>
      </w:r>
    </w:p>
    <w:p>
      <w:pPr>
        <w:spacing w:after="0" w:line="179" w:lineRule="exact"/>
        <w:rPr>
          <w:sz w:val="20"/>
          <w:szCs w:val="20"/>
          <w:color w:val="auto"/>
        </w:rPr>
      </w:pPr>
    </w:p>
    <w:p>
      <w:pPr>
        <w:jc w:val="both"/>
        <w:ind w:left="200" w:right="219" w:firstLine="1305"/>
        <w:spacing w:after="0" w:line="241" w:lineRule="auto"/>
        <w:tabs>
          <w:tab w:leader="none" w:pos="21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 Party or its Affiliates may disclose the existence and terms of this Agreement or the Confidential Information of the other Party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 Business Days advance written notice of any such legally required disclosure to comment and the disclosing party shall reasonably consider such comments provided by such other Party on the proposed disclosure. In case either Party or its Affiliates is obliged to publicly disclose or file this Agreement as a “material agreement” in accordance with applicable Law or applicable stock exchange regulations (“SEC Filing”), this Agreement shall be redacted by the filing party to the extent permissible upon the reasonable advice of legal counsel, and the filing party shall provide the other Party a copy of such redacted agreement in advance of such SEC Filing to give reasonable opportunity the other Party to review and comment on the scope of such redaction in consultation with their own counsel; provided that the filing arty shall consider in good faith any comments provided by such other Party.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Warranties, and Covenants</w:t>
      </w:r>
    </w:p>
    <w:p>
      <w:pPr>
        <w:spacing w:after="0" w:line="19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7.1 Representations of Authority</w:t>
      </w:r>
      <w:r>
        <w:rPr>
          <w:rFonts w:ascii="Times New Roman" w:cs="Times New Roman" w:eastAsia="Times New Roman" w:hAnsi="Times New Roman"/>
          <w:sz w:val="20"/>
          <w:szCs w:val="20"/>
          <w:color w:val="auto"/>
        </w:rPr>
        <w:t>. Each Party represents and warrants to the other that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 Date it has full right, power and authority to enter into this Agreement and to perform its respective obligations under this Agreement.</w:t>
      </w:r>
    </w:p>
    <w:p>
      <w:pPr>
        <w:spacing w:after="0" w:line="169"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7.2 Consents</w:t>
      </w:r>
      <w:r>
        <w:rPr>
          <w:rFonts w:ascii="Times New Roman" w:cs="Times New Roman" w:eastAsia="Times New Roman" w:hAnsi="Times New Roman"/>
          <w:sz w:val="20"/>
          <w:szCs w:val="20"/>
          <w:color w:val="auto"/>
        </w:rPr>
        <w:t>. Each Party represents and warrants that as of the Effective Date all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approvals and authorizations of all government authorities and other Persons required to be obtained by such Party in connection with execution, delivery and performance of this Agreement have been obtained.</w:t>
      </w:r>
    </w:p>
    <w:p>
      <w:pPr>
        <w:spacing w:after="0" w:line="17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7.3 No Conflict</w:t>
      </w:r>
      <w:r>
        <w:rPr>
          <w:rFonts w:ascii="Times New Roman" w:cs="Times New Roman" w:eastAsia="Times New Roman" w:hAnsi="Times New Roman"/>
          <w:sz w:val="20"/>
          <w:szCs w:val="20"/>
          <w:color w:val="auto"/>
        </w:rPr>
        <w:t>. Each Party represents and warrants that, as of the Effective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execution and delivery of this Agreement and the performance of such Party’s obligations hereunder (a) do not conflict with or violate any requirement of applicable Laws and (b) do not conflict with, violate or breach or constitute a default of, or require any consent under, any contractual obligations of such Party, except such consents as have been obtained as of the Effective Date.</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7.4 Employee, Consultant and Advisor Obligations</w:t>
      </w:r>
      <w:r>
        <w:rPr>
          <w:rFonts w:ascii="Times New Roman" w:cs="Times New Roman" w:eastAsia="Times New Roman" w:hAnsi="Times New Roman"/>
          <w:sz w:val="20"/>
          <w:szCs w:val="20"/>
          <w:color w:val="auto"/>
        </w:rPr>
        <w:t>. Each Party represents and warrants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right="219" w:firstLine="1305"/>
        <w:spacing w:after="0" w:line="244" w:lineRule="auto"/>
        <w:tabs>
          <w:tab w:leader="none" w:pos="21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CDI represents and warrants to Century with respect to the Licensed Patent Rights, and Century represents and warrants to CDI with respect to the Century Patent Rights, as follows that (i) it owns or Controls the entire right, title and interest in and to the Licensed Patent Rights or Century Patent Rights, as the case may be, free and clear of all liens, charges and encumbrances, (ii) it has the right to grant to the other Party the rights and licenses under the Licensed Patent Rights and Century Patent Rights granted in this Agreement and has not previously assigned, transferred, conveyed or otherwise encumbered its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6" w:name="page237"/>
    <w:bookmarkEnd w:id="236"/>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title and interest in such Patent Rights in any manner inconsistent with the terms hereof, and will not take any of the foregoing actions in any manner inconsistent with the terms hereof, (iii) none of the Licensed Patent Rights or Century Patent Rights was fraudulently procured from the relevant governmental patent granting authority, (iv) as of the Effective Date, there is no written claim or demand of any Person pertaining to, or any proceeding which is pending or threatened, that asserts the invalidity, misuse or unenforceability of the Licensed Patent Rights or Century Patent Rights or challenges its ownership of such Patent Rights or makes any adverse claim with respect thereto, including any claim that such Patent Rights infringe or misappropriate Intellectual Property of any Third Party, and, to the knowledge of such Party (without any duty to investigate), there is no basis for any such claim, demand or proceeding, (v) to the knowledge of such Party (without any duty to investigate), as of the Effective Date, the Licensed Patent Rights or Century Patent Rights are not being infringed by any Third Party, and (vi) to the knowledge of such Party (without any duty to investigate) as of the Effective Date, none of its Affiliates own or control, as of the Effective Date, any Patent Rights pertaining to differentiation of human iPSC that are reasonably necessary to Exploit a Licensed Product.</w:t>
      </w:r>
    </w:p>
    <w:p>
      <w:pPr>
        <w:spacing w:after="0" w:line="195" w:lineRule="exact"/>
        <w:rPr>
          <w:sz w:val="20"/>
          <w:szCs w:val="20"/>
          <w:color w:val="auto"/>
        </w:rPr>
      </w:pPr>
    </w:p>
    <w:p>
      <w:pPr>
        <w:jc w:val="both"/>
        <w:ind w:left="200" w:right="219" w:firstLine="1305"/>
        <w:spacing w:after="0" w:line="246"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each Party shall use Commercially Reasonable Efforts to retain and maintain sufficient legal or beneficial title and ownership of, or sufficient license rights under, any Licensed Patent Rights or Century Patent Rights to enable such Party to grant the licenses and rights to such Patent Rights that would be granted to the other Party under, and as reasonably necessary to practice, such Patent Rights in accordance with the license to be granted under this Agreement.</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7.6 No Warranties</w:t>
      </w:r>
      <w:r>
        <w:rPr>
          <w:rFonts w:ascii="Times New Roman" w:cs="Times New Roman" w:eastAsia="Times New Roman" w:hAnsi="Times New Roman"/>
          <w:sz w:val="20"/>
          <w:szCs w:val="20"/>
          <w:color w:val="auto"/>
        </w:rPr>
        <w:t>. EXCEPT AS OTHERWISE EXPRESSLY SET FORTH HEREIN,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MAKE NO REPRESENTATIONS AND EXTEND NO WARRANTIES OF ANY KIND, EITHER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Indemnification; Insurance; and Limitation on Damages</w:t>
      </w:r>
    </w:p>
    <w:p>
      <w:pPr>
        <w:spacing w:after="0" w:line="190"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8.1 By Century</w:t>
      </w:r>
      <w:r>
        <w:rPr>
          <w:rFonts w:ascii="Times New Roman" w:cs="Times New Roman" w:eastAsia="Times New Roman" w:hAnsi="Times New Roman"/>
          <w:sz w:val="20"/>
          <w:szCs w:val="20"/>
          <w:color w:val="auto"/>
        </w:rPr>
        <w:t>. Century agrees to defend CDI, its Affiliates and their respective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officers, employees, consultants and agents at Century’s cost and expense, and shall indemnify and hold harmless CDI and its Affiliates and their respective directors, officers, employees, consultants and agents from and against any liabilities, losses, costs, damages, fees or expenses arising out of any Third Party (excluding any Affiliate)-claim, suit, action or demand relating to (a) any breach by Century of any of its representations, warranties or obligations pursuant to this Agreement, (b) personal injury, property damage or other damage resulting from the Exploitation of Licensed Products in the Field within the Territory by or on behalf of Century or its Affiliates or Sublicensees or (c) the willful misconduct or grossly negligent acts of Century, its Affiliates, subcontractors, Century or Sublicensees (excluding CDI and its Affiliates as Licensees or Sublicensees of Century hereunder); excluding, in each case (a), (b) and (c), any damages or other amounts for which CDI has an obligation to indemnify Century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as to which damages or amounts each Party shall indemnify the other to the extent of their respective liability for such damages or amounts.</w:t>
      </w:r>
    </w:p>
    <w:p>
      <w:pPr>
        <w:spacing w:after="0" w:line="185"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8.2 By CDI</w:t>
      </w:r>
      <w:r>
        <w:rPr>
          <w:rFonts w:ascii="Times New Roman" w:cs="Times New Roman" w:eastAsia="Times New Roman" w:hAnsi="Times New Roman"/>
          <w:sz w:val="20"/>
          <w:szCs w:val="20"/>
          <w:color w:val="auto"/>
        </w:rPr>
        <w:t>. CDI agrees to defend Century, its Affiliates and their respective directors,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consultants and agents at CDI’s cost and expense, and shall indemnify and hold harmless Century and its Affiliates and their respective directors, officers, employees, consultants and agents from and against any liabilities, losses, costs, damages, fees or expenses arising out of any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7" w:name="page238"/>
    <w:bookmarkEnd w:id="237"/>
    <w:p>
      <w:pPr>
        <w:jc w:val="both"/>
        <w:ind w:left="200" w:right="219"/>
        <w:spacing w:after="0" w:line="243" w:lineRule="auto"/>
        <w:rPr>
          <w:sz w:val="20"/>
          <w:szCs w:val="20"/>
          <w:color w:val="auto"/>
        </w:rPr>
      </w:pPr>
      <w:r>
        <w:rPr>
          <w:rFonts w:ascii="Times New Roman" w:cs="Times New Roman" w:eastAsia="Times New Roman" w:hAnsi="Times New Roman"/>
          <w:sz w:val="20"/>
          <w:szCs w:val="20"/>
          <w:color w:val="auto"/>
        </w:rPr>
        <w:t xml:space="preserve">Party (excluding any Affiliate) claim, suit, action or demand relating to (a) any breach by CDI of any of its representations, warranties or obligations pursuant to this Agreement, (b) personal injury, property, damage or other damage resulting from the Exploitation of CDI CDMO Products in the Field in the Territory by or on behalf of CDI, its Affiliates or Sublicensees or (c) the willful misconduct or grossly negligent acts of CDI, its Affiliates, subcontractors, licensees or Sublicensees (excluding Century and its Affiliates as licensees or Sublicensees to CDI hereunder); excluding, in each case (a), (b) and (c), any damages or other amounts for which Century has an obligations to indemnify CDI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as to which damages or amounts each Party shall indemnify the other to the extent of their respective liability for such damages or amounts.</w:t>
      </w:r>
    </w:p>
    <w:p>
      <w:pPr>
        <w:spacing w:after="0" w:line="181"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8.3 Procedures</w:t>
      </w:r>
      <w:r>
        <w:rPr>
          <w:rFonts w:ascii="Times New Roman" w:cs="Times New Roman" w:eastAsia="Times New Roman" w:hAnsi="Times New Roman"/>
          <w:sz w:val="20"/>
          <w:szCs w:val="20"/>
          <w:color w:val="auto"/>
        </w:rPr>
        <w:t>. A Person entitled to indemnification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“Indemnified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shall give prompt written notification to the Party from whom indemnification is sought (the “Indemnifying Party”)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provided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19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9"/>
          <w:szCs w:val="19"/>
          <w:b w:val="1"/>
          <w:bCs w:val="1"/>
          <w:color w:val="auto"/>
        </w:rPr>
        <w:t>8.4 Insurance</w:t>
      </w:r>
      <w:r>
        <w:rPr>
          <w:rFonts w:ascii="Times New Roman" w:cs="Times New Roman" w:eastAsia="Times New Roman" w:hAnsi="Times New Roman"/>
          <w:sz w:val="19"/>
          <w:szCs w:val="19"/>
          <w:color w:val="auto"/>
        </w:rPr>
        <w:t>. Century shall procure and maintain insurance or self-insurance,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general liability insurance and, starting at the time at which a Licensed Product first enters clinical testing in human subjects by or on behalf of Century or Sublicensees, product liability insurance, in each case adequate to cover its obligations hereunder and consistent with normal business practices of prudent companies similarly situated, which insurance shall identify CDI as an additional insured starting at the time at which a Licensed Product first enters clinical testing in human subjects by or on behalf of Century or Sublicensees. It is understood that any such insurance shall not be construed to create a limit of each Party’s liability with respect to its indemnification obligations under this Article. Century shall provide CDI with written evidence of such insurance upon request. Century shall provide CDI with written notice at least</w:t>
      </w:r>
    </w:p>
    <w:p>
      <w:pPr>
        <w:spacing w:after="0" w:line="2" w:lineRule="exact"/>
        <w:rPr>
          <w:sz w:val="20"/>
          <w:szCs w:val="20"/>
          <w:color w:val="auto"/>
        </w:rPr>
      </w:pPr>
    </w:p>
    <w:p>
      <w:pPr>
        <w:ind w:left="200" w:right="219" w:firstLine="9"/>
        <w:spacing w:after="0" w:line="246" w:lineRule="auto"/>
        <w:tabs>
          <w:tab w:leader="none" w:pos="70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the cancellation, non-renewal or material change in such insurance or self-insurance which could adversely affect rights hereunder.</w:t>
      </w:r>
    </w:p>
    <w:p>
      <w:pPr>
        <w:spacing w:after="0" w:line="178"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8.5 No Consequential or Punitive Damages</w:t>
      </w:r>
      <w:r>
        <w:rPr>
          <w:rFonts w:ascii="Times New Roman" w:cs="Times New Roman" w:eastAsia="Times New Roman" w:hAnsi="Times New Roman"/>
          <w:sz w:val="20"/>
          <w:szCs w:val="20"/>
          <w:color w:val="auto"/>
        </w:rPr>
        <w:t>. EXCEPT WITH RESPECT TO (A)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INDEMNIFICATION RIGHTS OR OBLIGATIONS OF EITHER PARTY UNDER THIS AGREEMENT WITH RESPECT TO THIRD PARTY CLAIMS, SUITS; ACTIONS OR DEMANDS, OR (B) A BREACH OF THE CONFIDENTIALITY AND NON-USE OBLIGATIONS OF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NEITHER PARTY HERETO WILL BE LIABLE FOR INDIRECT, INCIDENTAL, CONSEQUENTIAL, SPECIAL, EXEMPLARY OR PUNITIVE DAMAGES, INCLUDING LOST PROFITS, ARISING FROM OR RELATING TO THIS AGREEMENT, REGARDLESS OF ANY NOTICE OF SUCH DAMAGES.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342900</wp:posOffset>
            </wp:positionV>
            <wp:extent cx="545211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8" w:name="page239"/>
    <w:bookmarkEnd w:id="238"/>
    <w:p>
      <w:pPr>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9.1 Term</w:t>
      </w:r>
      <w:r>
        <w:rPr>
          <w:rFonts w:ascii="Times New Roman" w:cs="Times New Roman" w:eastAsia="Times New Roman" w:hAnsi="Times New Roman"/>
          <w:sz w:val="20"/>
          <w:szCs w:val="20"/>
          <w:color w:val="auto"/>
        </w:rPr>
        <w:t>. This Agreement shall become effective as of the Effective Date and shall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remain in effect, unless terminated as set forth in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(the “Term”).</w:t>
      </w:r>
    </w:p>
    <w:p>
      <w:pPr>
        <w:spacing w:after="0" w:line="15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Termination for Material Breach</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50" w:lineRule="auto"/>
        <w:tabs>
          <w:tab w:leader="none" w:pos="2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Party (the “</w:t>
      </w:r>
      <w:r>
        <w:rPr>
          <w:rFonts w:ascii="Times New Roman" w:cs="Times New Roman" w:eastAsia="Times New Roman" w:hAnsi="Times New Roman"/>
          <w:sz w:val="20"/>
          <w:szCs w:val="20"/>
          <w:b w:val="1"/>
          <w:bCs w:val="1"/>
          <w:color w:val="auto"/>
        </w:rPr>
        <w:t>Breaching Party</w:t>
      </w:r>
      <w:r>
        <w:rPr>
          <w:rFonts w:ascii="Times New Roman" w:cs="Times New Roman" w:eastAsia="Times New Roman" w:hAnsi="Times New Roman"/>
          <w:sz w:val="20"/>
          <w:szCs w:val="20"/>
          <w:color w:val="auto"/>
        </w:rPr>
        <w:t>”) to comply with any of its material obligations contained in this Agreement (such failure, a “</w:t>
      </w:r>
      <w:r>
        <w:rPr>
          <w:rFonts w:ascii="Times New Roman" w:cs="Times New Roman" w:eastAsia="Times New Roman" w:hAnsi="Times New Roman"/>
          <w:sz w:val="20"/>
          <w:szCs w:val="20"/>
          <w:b w:val="1"/>
          <w:bCs w:val="1"/>
          <w:color w:val="auto"/>
        </w:rPr>
        <w:t>Material Breach</w:t>
      </w:r>
      <w:r>
        <w:rPr>
          <w:rFonts w:ascii="Times New Roman" w:cs="Times New Roman" w:eastAsia="Times New Roman" w:hAnsi="Times New Roman"/>
          <w:sz w:val="20"/>
          <w:szCs w:val="20"/>
          <w:color w:val="auto"/>
        </w:rPr>
        <w:t>”) shall entitle the other Party (the “</w:t>
      </w:r>
      <w:r>
        <w:rPr>
          <w:rFonts w:ascii="Times New Roman" w:cs="Times New Roman" w:eastAsia="Times New Roman" w:hAnsi="Times New Roman"/>
          <w:sz w:val="20"/>
          <w:szCs w:val="20"/>
          <w:b w:val="1"/>
          <w:bCs w:val="1"/>
          <w:color w:val="auto"/>
        </w:rPr>
        <w:t>Non-Breaching Party</w:t>
      </w:r>
      <w:r>
        <w:rPr>
          <w:rFonts w:ascii="Times New Roman" w:cs="Times New Roman" w:eastAsia="Times New Roman" w:hAnsi="Times New Roman"/>
          <w:sz w:val="20"/>
          <w:szCs w:val="20"/>
          <w:color w:val="auto"/>
        </w:rPr>
        <w:t>”) to give to the Breaching Party written notice specifying the nature of the Material Breach, requiring the Breaching Party to cure such Material Breach.</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2" w:lineRule="auto"/>
        <w:tabs>
          <w:tab w:leader="none" w:pos="2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Material Breach is not cured within [***] days after the receipt of notice pursuant to </w:t>
      </w:r>
      <w:r>
        <w:rPr>
          <w:rFonts w:ascii="Times New Roman" w:cs="Times New Roman" w:eastAsia="Times New Roman" w:hAnsi="Times New Roman"/>
          <w:sz w:val="20"/>
          <w:szCs w:val="20"/>
          <w:u w:val="single" w:color="auto"/>
          <w:color w:val="auto"/>
        </w:rPr>
        <w:t>Section 9.2(a)</w:t>
      </w:r>
      <w:r>
        <w:rPr>
          <w:rFonts w:ascii="Times New Roman" w:cs="Times New Roman" w:eastAsia="Times New Roman" w:hAnsi="Times New Roman"/>
          <w:sz w:val="20"/>
          <w:szCs w:val="20"/>
          <w:color w:val="auto"/>
        </w:rPr>
        <w:t xml:space="preserve"> above, the Non-Breaching Party shall be entitled to terminate this Agreement on written notice to the Breaching Party and without prejudice to any of its other rights conferred on it by this Agreement; provided that if a Material Breach cannot reasonably be cured within such [***]-day period and the Breaching Party promptly delivers a plan to cure such Material Breach (reasonably acceptable to the Non-Breaching Party) and cures such Material Breach up to a maximum cure period of [***] days from the date of initial notice; further provided, however, that if the Breaching Party disputes the existence of a Material Breach, the matter shall be submitted for resolution in accordance with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the Breaching Party shall not have the right to terminate this Agreement unless and until a final decision of Material Breach is rendered under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the Breaching Party fails to cure such Material Breach within [***] days thereafter.</w:t>
      </w:r>
    </w:p>
    <w:p>
      <w:pPr>
        <w:spacing w:after="0" w:line="18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9.3 Termination for Bankruptcy</w:t>
      </w:r>
      <w:r>
        <w:rPr>
          <w:rFonts w:ascii="Times New Roman" w:cs="Times New Roman" w:eastAsia="Times New Roman" w:hAnsi="Times New Roman"/>
          <w:sz w:val="20"/>
          <w:szCs w:val="20"/>
          <w:color w:val="auto"/>
        </w:rPr>
        <w:t>. To the extent allowed under applicable Law, either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right to terminate this Agreement in the event that the other Party admits its inability to pay its debts generally as they become due or in the event of the commencement of any proceeding in or for bankruptcy, insolvency, dissolution or winding up by or against the other Party (other than pursuant to a corporate restructuring), or the appointment of a receiver or similar agent by a court of competent jurisdiction, that is not dismissed or otherwise disposed of within [***] days thereafter and/or the administrator of the bankruptcy estate or the Party under in-court restructuring has not, within [***] days after the receipt of an inquiry from the other Party, confirmed that the bankruptcy estate or the Party under in-court restructuring will adopt this Agreement.</w:t>
      </w:r>
    </w:p>
    <w:p>
      <w:pPr>
        <w:spacing w:after="0" w:line="18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9.4 Termination for Convenience</w:t>
      </w:r>
      <w:r>
        <w:rPr>
          <w:rFonts w:ascii="Times New Roman" w:cs="Times New Roman" w:eastAsia="Times New Roman" w:hAnsi="Times New Roman"/>
          <w:sz w:val="20"/>
          <w:szCs w:val="20"/>
          <w:color w:val="auto"/>
        </w:rPr>
        <w:t>. Century may terminate this Agreement, at any time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any reason or no reason, in its entirety or on an indication-by-indication basis, a Licensed Product-by-Licensed Product basis (to exclude such product from the Field) or country-by-country basis (to eliminate such country from the Territory), by providing [***] days’ prior written notice to CDI, provided that, for purposes of clarity, in such event, GDI’s license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survive any such termination by Century for Convenience. The termination shall become effective at the end of the [***]-day period.</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19"/>
          <w:szCs w:val="19"/>
          <w:b w:val="1"/>
          <w:bCs w:val="1"/>
          <w:color w:val="auto"/>
        </w:rPr>
        <w:t>Effects of Termination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right="219" w:firstLine="1305"/>
        <w:spacing w:after="0" w:line="242" w:lineRule="auto"/>
        <w:tabs>
          <w:tab w:leader="none" w:pos="21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Termination of this Agreement shall be in addition to, and shall not prejudice, the Parties’ remedies at law or in equity, including the Parties’ ability to receive legal damages or equitable relief with respect to any breach of this Agreement, regardless of whether or not such breach was the reason for the termination. In the event of any early termination of this Agreement, the Parties will work together in good faith to determine and implement reasonable wind-down procedures with respect to relevant Licensed Product-related activities ongoing at the time of such termination, which shall include continuation of the licenses granted to Century hereunder (and subject to the continuing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342265</wp:posOffset>
            </wp:positionV>
            <wp:extent cx="545211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9" w:name="page240"/>
    <w:bookmarkEnd w:id="239"/>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 xml:space="preserve">and conditions of this Agreement) to permit Century and Sublicensees to continue and complete any ongoing clinical trials of Licensed Products and to make or have made such Licensed Products as necessary to continue and complete such clinical trials; provided, however, in that the event such termination is by CDI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such Licensed Product-related activities shall be limited to those necessary for Century to comply with regulatory obligations, or medical or ethical obligations to patients consistent with industry standards. For purposes of clarity, CDI’s license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survive any expiration or termination of this Agreement.</w:t>
      </w:r>
    </w:p>
    <w:p>
      <w:pPr>
        <w:spacing w:after="0" w:line="185" w:lineRule="exact"/>
        <w:rPr>
          <w:sz w:val="20"/>
          <w:szCs w:val="20"/>
          <w:color w:val="auto"/>
        </w:rPr>
      </w:pPr>
    </w:p>
    <w:p>
      <w:pPr>
        <w:jc w:val="both"/>
        <w:ind w:left="200" w:right="219" w:firstLine="657"/>
        <w:spacing w:after="0" w:line="243" w:lineRule="auto"/>
        <w:tabs>
          <w:tab w:leader="none" w:pos="14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Return or Destruction of Confidential Information. Upon the expiration or termination of this Agreement, each Party shall promptly return or destroy all of such other Party’s Confidential Information that relates to a Licensed Product or that was provided by or on behalf of such other Party hereunder that is in the possession or control of such Party (or any of its Affiliates), except that (i) such Party will have the right maintain one (1) copy of intangible Confidential Information of such other Party for legal and archival purposes; and (ii) CDI will have the right to retain Century Confidential Information that is embodied in the Century Licensed Technology or the Century Manufacturing Technology and as is reasonably necessary to exercise its rights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CDI’s retention of such Confidential Information will remain subject to the terms of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9.6 Survival. </w:t>
      </w:r>
      <w:r>
        <w:rPr>
          <w:rFonts w:ascii="Times New Roman" w:cs="Times New Roman" w:eastAsia="Times New Roman" w:hAnsi="Times New Roman"/>
          <w:sz w:val="20"/>
          <w:szCs w:val="20"/>
          <w:color w:val="auto"/>
        </w:rPr>
        <w:t>The following provisions shall survive the expiration or termination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xml:space="preserve"> (Definitions) (to the extent necessary to give effect to other surviving provisions),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(Intellectual Property),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(Confidentiality),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(Indemnification; Insurance; and Limitation on Damages) (other than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(Insurance)) and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(Miscellaneous Provisions), and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(License Grants to CDI), </w:t>
      </w:r>
      <w:r>
        <w:rPr>
          <w:rFonts w:ascii="Times New Roman" w:cs="Times New Roman" w:eastAsia="Times New Roman" w:hAnsi="Times New Roman"/>
          <w:sz w:val="20"/>
          <w:szCs w:val="20"/>
          <w:u w:val="single" w:color="auto"/>
          <w:color w:val="auto"/>
        </w:rPr>
        <w:t>2.3(b)</w:t>
      </w:r>
      <w:r>
        <w:rPr>
          <w:rFonts w:ascii="Times New Roman" w:cs="Times New Roman" w:eastAsia="Times New Roman" w:hAnsi="Times New Roman"/>
          <w:sz w:val="20"/>
          <w:szCs w:val="20"/>
          <w:color w:val="auto"/>
        </w:rPr>
        <w:t xml:space="preserve"> (Sublicensing),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(Effects of Termination) and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9.6</w:t>
      </w:r>
      <w:r>
        <w:rPr>
          <w:rFonts w:ascii="Times New Roman" w:cs="Times New Roman" w:eastAsia="Times New Roman" w:hAnsi="Times New Roman"/>
          <w:sz w:val="20"/>
          <w:szCs w:val="20"/>
          <w:color w:val="auto"/>
        </w:rPr>
        <w:t xml:space="preserve"> (Survival).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9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10.1 Governing Law: Language</w:t>
      </w:r>
      <w:r>
        <w:rPr>
          <w:rFonts w:ascii="Times New Roman" w:cs="Times New Roman" w:eastAsia="Times New Roman" w:hAnsi="Times New Roman"/>
          <w:sz w:val="20"/>
          <w:szCs w:val="20"/>
          <w:color w:val="auto"/>
        </w:rPr>
        <w:t>. This Agreement and all disputes arising out of or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construed and the respective rights of the Parties determined in accordance with the laws of the State of Wisconsin, U.S.A., excluding application of any conflict of laws. This Agreement and all communications related to it, or to any dispute or controversy arising out of it, shall be conducted in English.</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10.2 Notice</w:t>
      </w:r>
      <w:r>
        <w:rPr>
          <w:rFonts w:ascii="Times New Roman" w:cs="Times New Roman" w:eastAsia="Times New Roman" w:hAnsi="Times New Roman"/>
          <w:sz w:val="20"/>
          <w:szCs w:val="20"/>
          <w:color w:val="auto"/>
        </w:rPr>
        <w:t>. Any notices required or permitted by this Agreement shall be in writing,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specifically refer to this Agreement, and shall be sent by hand, recognized national overnight courier, confirmed electronic mail or registered or certified mail, postage prepaid, return receipt requested, to the following address of the Parties: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If to CDI:</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FUJIFILM Cellular Dynamics, Inc.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465 Science Drive</w:t>
      </w:r>
    </w:p>
    <w:p>
      <w:pPr>
        <w:ind w:left="1500"/>
        <w:spacing w:after="0"/>
        <w:rPr>
          <w:sz w:val="20"/>
          <w:szCs w:val="20"/>
          <w:color w:val="auto"/>
        </w:rPr>
      </w:pPr>
      <w:r>
        <w:rPr>
          <w:rFonts w:ascii="Times New Roman" w:cs="Times New Roman" w:eastAsia="Times New Roman" w:hAnsi="Times New Roman"/>
          <w:sz w:val="20"/>
          <w:szCs w:val="20"/>
          <w:color w:val="auto"/>
        </w:rPr>
        <w:t>Madison, WI 53711</w:t>
      </w:r>
    </w:p>
    <w:p>
      <w:pPr>
        <w:ind w:left="1500"/>
        <w:spacing w:after="0"/>
        <w:rPr>
          <w:sz w:val="20"/>
          <w:szCs w:val="20"/>
          <w:color w:val="auto"/>
        </w:rPr>
      </w:pPr>
      <w:r>
        <w:rPr>
          <w:rFonts w:ascii="Times New Roman" w:cs="Times New Roman" w:eastAsia="Times New Roman" w:hAnsi="Times New Roman"/>
          <w:sz w:val="20"/>
          <w:szCs w:val="20"/>
          <w:color w:val="auto"/>
        </w:rPr>
        <w:t>Attention: Director, Intellectual Property</w:t>
      </w:r>
    </w:p>
    <w:p>
      <w:pPr>
        <w:ind w:left="1500"/>
        <w:spacing w:after="0"/>
        <w:rPr>
          <w:sz w:val="20"/>
          <w:szCs w:val="20"/>
          <w:color w:val="auto"/>
        </w:rPr>
      </w:pPr>
      <w:r>
        <w:rPr>
          <w:rFonts w:ascii="Times New Roman" w:cs="Times New Roman" w:eastAsia="Times New Roman" w:hAnsi="Times New Roman"/>
          <w:sz w:val="20"/>
          <w:szCs w:val="20"/>
          <w:color w:val="auto"/>
        </w:rPr>
        <w:t>Email: fcdi-licensing@cellulardynamics.com</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With a copy to:</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FUJIFILM Cellular Dynamics, Inc.</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465 Science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0" w:name="page241"/>
    <w:bookmarkEnd w:id="240"/>
    <w:p>
      <w:pPr>
        <w:ind w:left="1500"/>
        <w:spacing w:after="0"/>
        <w:rPr>
          <w:sz w:val="20"/>
          <w:szCs w:val="20"/>
          <w:color w:val="auto"/>
        </w:rPr>
      </w:pPr>
      <w:r>
        <w:rPr>
          <w:rFonts w:ascii="Times New Roman" w:cs="Times New Roman" w:eastAsia="Times New Roman" w:hAnsi="Times New Roman"/>
          <w:sz w:val="20"/>
          <w:szCs w:val="20"/>
          <w:color w:val="auto"/>
        </w:rPr>
        <w:t>Madison, WI 53711</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legaldepartment@fujifilm.com</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If to Century:</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Century Therapeutics, Inc.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25 N. 38th Street, 11th Floor</w:t>
      </w:r>
    </w:p>
    <w:p>
      <w:pPr>
        <w:ind w:left="1500"/>
        <w:spacing w:after="0"/>
        <w:rPr>
          <w:sz w:val="20"/>
          <w:szCs w:val="20"/>
          <w:color w:val="auto"/>
        </w:rPr>
      </w:pPr>
      <w:r>
        <w:rPr>
          <w:rFonts w:ascii="Times New Roman" w:cs="Times New Roman" w:eastAsia="Times New Roman" w:hAnsi="Times New Roman"/>
          <w:sz w:val="20"/>
          <w:szCs w:val="20"/>
          <w:color w:val="auto"/>
        </w:rPr>
        <w:t>Philadelphia, PA 19104</w:t>
      </w:r>
    </w:p>
    <w:p>
      <w:pPr>
        <w:ind w:left="1500"/>
        <w:spacing w:after="0"/>
        <w:rPr>
          <w:sz w:val="20"/>
          <w:szCs w:val="20"/>
          <w:color w:val="auto"/>
        </w:rPr>
      </w:pPr>
      <w:r>
        <w:rPr>
          <w:rFonts w:ascii="Times New Roman" w:cs="Times New Roman" w:eastAsia="Times New Roman" w:hAnsi="Times New Roman"/>
          <w:sz w:val="20"/>
          <w:szCs w:val="20"/>
          <w:color w:val="auto"/>
        </w:rPr>
        <w:t>Attention: General Counsel</w:t>
      </w:r>
    </w:p>
    <w:p>
      <w:pPr>
        <w:ind w:left="1500"/>
        <w:spacing w:after="0"/>
        <w:rPr>
          <w:sz w:val="20"/>
          <w:szCs w:val="20"/>
          <w:color w:val="auto"/>
        </w:rPr>
      </w:pPr>
      <w:r>
        <w:rPr>
          <w:rFonts w:ascii="Times New Roman" w:cs="Times New Roman" w:eastAsia="Times New Roman" w:hAnsi="Times New Roman"/>
          <w:sz w:val="20"/>
          <w:szCs w:val="20"/>
          <w:color w:val="auto"/>
        </w:rPr>
        <w:t>Email: legal@centurytx.com</w:t>
      </w:r>
    </w:p>
    <w:p>
      <w:pPr>
        <w:spacing w:after="0" w:line="194"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All notices under this Agreement shall be deemed effective upon receipt. A Party may change its contact information immediately upon written notice to the other Party in the manner provided in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10.3 Assignment</w:t>
      </w:r>
      <w:r>
        <w:rPr>
          <w:rFonts w:ascii="Times New Roman" w:cs="Times New Roman" w:eastAsia="Times New Roman" w:hAnsi="Times New Roman"/>
          <w:sz w:val="20"/>
          <w:szCs w:val="20"/>
          <w:color w:val="auto"/>
        </w:rPr>
        <w:t>. Neither Party may, without the consent of the other Party, assign or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of its rights and obligations hereunder; provided that each Party may assign this Agreement, in its entirety, without the consent of the other Party, (a) in connection with a sale or transfer of all or substantially all of the business and assets of each Party to which this Agreement relates, including by way of merger, consolidation, transfer, or sale of assets related to this Agreement or (b) to an Affiliate or in connection with a reorganization, provided, further that in each case each Party shall ensure that upon any assignment or transfer under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the assignee or transferee or an Affiliate, as the case may be, agrees in writing, in form and substance reasonably satisfactory to the other Party, to perform and comply with all obligations of such Party under, and to be bound by the terms and conditions of, this Agreement as if such assignee or transferee or an Affiliate were a direct party to this Agreement. Any assignment in circumvention of the foregoing shall be void. Subject to the foregoing, this Agreement shall be binding upon and inure to the benefit of the Parties hereto and their respective successors and permitted assigns. For clarity, if Century is involved in a change of control with a Third Party, then: (a) the Patent Rights and Know-How controlled by such Third Party (or any Affiliate thereof, excluding Century as a result of such transaction) existing as of the date of closing of such change of control (if such Third Party becomes the assignee of this Agreement); or (b) the Patent Rights and Know-How controlled by such Third Party (if such Third Party remains an Affiliate of Century), in each case, will be excluded from the definition of Century Know-How and Century Patent Rights.</w:t>
      </w:r>
    </w:p>
    <w:p>
      <w:pPr>
        <w:spacing w:after="0" w:line="19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10.4 Entire Agreement</w:t>
      </w:r>
      <w:r>
        <w:rPr>
          <w:rFonts w:ascii="Times New Roman" w:cs="Times New Roman" w:eastAsia="Times New Roman" w:hAnsi="Times New Roman"/>
          <w:sz w:val="20"/>
          <w:szCs w:val="20"/>
          <w:color w:val="auto"/>
        </w:rPr>
        <w:t>. This Agreement constitutes the entire agreement between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its subject matter and supersedes all prior agreements or understandings between the Parties relating to its subject matter.</w:t>
      </w:r>
    </w:p>
    <w:p>
      <w:pPr>
        <w:spacing w:after="0" w:line="16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10.5 Interpretation</w:t>
      </w:r>
      <w:r>
        <w:rPr>
          <w:rFonts w:ascii="Times New Roman" w:cs="Times New Roman" w:eastAsia="Times New Roman" w:hAnsi="Times New Roman"/>
          <w:sz w:val="20"/>
          <w:szCs w:val="20"/>
          <w:color w:val="auto"/>
        </w:rPr>
        <w:t>. The captions and headings to this Agreement are for convenience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“consent”, or “approval” and references to other written communications contemplated under this Agreement shall mean notice, consent, approval or communication in writing (whether or not specifically stated); (d) the words “hereof,” “herein,” “hereby” and derivative or similar words refer to this Agreement (including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9"/>
          <w:szCs w:val="19"/>
          <w:color w:val="auto"/>
        </w:rPr>
        <w:t>Exhibits); (e) the word “or” shall be construed as the inclusive meaning identified with the phrase “and/or;”</w:t>
      </w:r>
    </w:p>
    <w:p>
      <w:pPr>
        <w:spacing w:after="0" w:line="32" w:lineRule="exact"/>
        <w:rPr>
          <w:sz w:val="20"/>
          <w:szCs w:val="20"/>
          <w:color w:val="auto"/>
        </w:rPr>
      </w:pPr>
    </w:p>
    <w:p>
      <w:pPr>
        <w:jc w:val="both"/>
        <w:ind w:left="200" w:right="219" w:firstLine="9"/>
        <w:spacing w:after="0" w:line="253" w:lineRule="auto"/>
        <w:tabs>
          <w:tab w:leader="none" w:pos="44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 any then- current modification, amendment and re-enactment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80"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19"/>
          <w:szCs w:val="19"/>
          <w:b w:val="1"/>
          <w:bCs w:val="1"/>
          <w:color w:val="auto"/>
        </w:rPr>
        <w:t>10.6 Amendment and Waiver</w:t>
      </w:r>
      <w:r>
        <w:rPr>
          <w:rFonts w:ascii="Times New Roman" w:cs="Times New Roman" w:eastAsia="Times New Roman" w:hAnsi="Times New Roman"/>
          <w:sz w:val="19"/>
          <w:szCs w:val="19"/>
          <w:color w:val="auto"/>
        </w:rPr>
        <w:t>. This Agreement may be amended, supplemented, or otherwise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modified only by means of a written instrument signed by an authorized representative of both Parties. Any waiver of any right or failure to act in a specific instance shall relate only to such instance and shall not be construed as an agreement to waive any right or fail to act in any other instance, whether or not similar.</w:t>
      </w:r>
    </w:p>
    <w:p>
      <w:pPr>
        <w:spacing w:after="0" w:line="158"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10.7 Severability</w:t>
      </w:r>
      <w:r>
        <w:rPr>
          <w:rFonts w:ascii="Times New Roman" w:cs="Times New Roman" w:eastAsia="Times New Roman" w:hAnsi="Times New Roman"/>
          <w:sz w:val="20"/>
          <w:szCs w:val="20"/>
          <w:color w:val="auto"/>
        </w:rPr>
        <w:t>. In the event that any provision of this Agreement shall be held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 and this Agreement shall be automatically amended to reflect such mutually agreed provision.</w:t>
      </w:r>
    </w:p>
    <w:p>
      <w:pPr>
        <w:spacing w:after="0" w:line="180"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10.8 Use of Name</w:t>
      </w:r>
      <w:r>
        <w:rPr>
          <w:rFonts w:ascii="Times New Roman" w:cs="Times New Roman" w:eastAsia="Times New Roman" w:hAnsi="Times New Roman"/>
          <w:sz w:val="20"/>
          <w:szCs w:val="20"/>
          <w:color w:val="auto"/>
        </w:rPr>
        <w:t>. Neither Party shall use the other Party’s name (except in connection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disclosures permitted under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or logo without the other Party’s express prior written consent, which consent may be granted in the context of the Parties mutually approving a press release or other public disclosure related to this Agreement.</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10.9 Counterparts</w:t>
      </w:r>
      <w:r>
        <w:rPr>
          <w:rFonts w:ascii="Times New Roman" w:cs="Times New Roman" w:eastAsia="Times New Roman" w:hAnsi="Times New Roman"/>
          <w:sz w:val="20"/>
          <w:szCs w:val="20"/>
          <w:color w:val="auto"/>
        </w:rPr>
        <w:t>. This Agreement may be executed in counterparts, each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when so executed and delivered, shall be deemed to be an original, and all of which counterparts, taken together, shall constitute one and the same instrument.</w:t>
      </w:r>
    </w:p>
    <w:p>
      <w:pPr>
        <w:spacing w:after="0" w:line="16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10.10 Force Majeure</w:t>
      </w:r>
      <w:r>
        <w:rPr>
          <w:rFonts w:ascii="Times New Roman" w:cs="Times New Roman" w:eastAsia="Times New Roman" w:hAnsi="Times New Roman"/>
          <w:sz w:val="20"/>
          <w:szCs w:val="20"/>
          <w:color w:val="auto"/>
        </w:rPr>
        <w:t>. Neither Party will be responsible for delays resulting from causes beyond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reasonable control of such Party, including fire, explosion, flood, war, strike, or riot,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nonperforming Party uses Commercially Reasonable Efforts for a company of its size and resources to avoid or remove such causes of nonperformance and continues performance under this Agreement with reasonable dispatch whenever such causes are removed.</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19"/>
          <w:szCs w:val="19"/>
          <w:b w:val="1"/>
          <w:bCs w:val="1"/>
          <w:color w:val="auto"/>
        </w:rPr>
        <w:t>Dispute Resolution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200" w:right="219" w:firstLine="1305"/>
        <w:spacing w:after="0" w:line="245" w:lineRule="auto"/>
        <w:tabs>
          <w:tab w:leader="none" w:pos="214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Escalation</w:t>
      </w:r>
      <w:r>
        <w:rPr>
          <w:rFonts w:ascii="Times New Roman" w:cs="Times New Roman" w:eastAsia="Times New Roman" w:hAnsi="Times New Roman"/>
          <w:sz w:val="20"/>
          <w:szCs w:val="20"/>
          <w:color w:val="auto"/>
        </w:rPr>
        <w:t>. If any dispute arises out of or relates to this Agreement, the Parties agree to first seek to resolve such dispute by referring such dispute to the respective Chief Executive Officers of each Party for resolution. Such referral shall take place within [***] days after a written request by either Party to the other Party that resolution by the Chief Executive Officers be attempted. If, within</w:t>
      </w:r>
    </w:p>
    <w:p>
      <w:pPr>
        <w:jc w:val="both"/>
        <w:ind w:left="200" w:right="219" w:firstLine="9"/>
        <w:spacing w:after="0" w:line="242" w:lineRule="auto"/>
        <w:tabs>
          <w:tab w:leader="none" w:pos="70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following the dispute being referred to the Chief Executive Officers of the Parties, the Chief Executive Officers of the Parties have not resolved the dispute, and a Party wishes to pursue the matter, such Party may initiate binding arbitration in accordance with </w:t>
      </w:r>
      <w:r>
        <w:rPr>
          <w:rFonts w:ascii="Times New Roman" w:cs="Times New Roman" w:eastAsia="Times New Roman" w:hAnsi="Times New Roman"/>
          <w:sz w:val="20"/>
          <w:szCs w:val="20"/>
          <w:u w:val="single" w:color="auto"/>
          <w:color w:val="auto"/>
        </w:rPr>
        <w:t>Section 10.11(b)</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2" w:name="page243"/>
    <w:bookmarkEnd w:id="242"/>
    <w:p>
      <w:pPr>
        <w:jc w:val="both"/>
        <w:ind w:left="200" w:right="219" w:firstLine="1305"/>
        <w:spacing w:after="0" w:line="256" w:lineRule="auto"/>
        <w:tabs>
          <w:tab w:leader="none" w:pos="2144"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Alternative Dispute Resolution</w:t>
      </w:r>
      <w:r>
        <w:rPr>
          <w:rFonts w:ascii="Times New Roman" w:cs="Times New Roman" w:eastAsia="Times New Roman" w:hAnsi="Times New Roman"/>
          <w:sz w:val="19"/>
          <w:szCs w:val="19"/>
          <w:color w:val="auto"/>
        </w:rPr>
        <w:t xml:space="preserve">. Any dispute arising out of or relating to this Agreement that has not been resolved pursuant to </w:t>
      </w:r>
      <w:r>
        <w:rPr>
          <w:rFonts w:ascii="Times New Roman" w:cs="Times New Roman" w:eastAsia="Times New Roman" w:hAnsi="Times New Roman"/>
          <w:sz w:val="19"/>
          <w:szCs w:val="19"/>
          <w:u w:val="single" w:color="auto"/>
          <w:color w:val="auto"/>
        </w:rPr>
        <w:t>Section 10.11(a)</w:t>
      </w:r>
      <w:r>
        <w:rPr>
          <w:rFonts w:ascii="Times New Roman" w:cs="Times New Roman" w:eastAsia="Times New Roman" w:hAnsi="Times New Roman"/>
          <w:sz w:val="19"/>
          <w:szCs w:val="19"/>
          <w:color w:val="auto"/>
        </w:rPr>
        <w:t xml:space="preserve"> shall be finally settled, in Tokyo in the event Century is a claimant and in New York in the event CDI is a claimant, under the Rules of Arbitration of the International Chamber of Commerce (“</w:t>
      </w:r>
      <w:r>
        <w:rPr>
          <w:rFonts w:ascii="Times New Roman" w:cs="Times New Roman" w:eastAsia="Times New Roman" w:hAnsi="Times New Roman"/>
          <w:sz w:val="19"/>
          <w:szCs w:val="19"/>
          <w:b w:val="1"/>
          <w:bCs w:val="1"/>
          <w:color w:val="auto"/>
        </w:rPr>
        <w:t>ICC</w:t>
      </w:r>
      <w:r>
        <w:rPr>
          <w:rFonts w:ascii="Times New Roman" w:cs="Times New Roman" w:eastAsia="Times New Roman" w:hAnsi="Times New Roman"/>
          <w:sz w:val="19"/>
          <w:szCs w:val="19"/>
          <w:color w:val="auto"/>
        </w:rPr>
        <w:t>”). The arbitral tribunal shall consist of three arbitrators, one nominated by the claimant in the request for arbitration, the second nominated by the respondent within</w:t>
      </w:r>
    </w:p>
    <w:p>
      <w:pPr>
        <w:spacing w:after="0" w:line="3" w:lineRule="exact"/>
        <w:rPr>
          <w:rFonts w:ascii="Times New Roman" w:cs="Times New Roman" w:eastAsia="Times New Roman" w:hAnsi="Times New Roman"/>
          <w:sz w:val="19"/>
          <w:szCs w:val="19"/>
          <w:color w:val="auto"/>
        </w:rPr>
      </w:pPr>
    </w:p>
    <w:p>
      <w:pPr>
        <w:jc w:val="both"/>
        <w:ind w:left="200" w:right="219" w:firstLine="9"/>
        <w:spacing w:after="0" w:line="241" w:lineRule="auto"/>
        <w:tabs>
          <w:tab w:leader="none" w:pos="71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receipt of the request for arbitration, and the third, who shall act as presiding arbitrator, nominated by the two party appointed arbitrators within [***] days of the nomination of the second arbitrator. If any arbitrators are not nominated within these time periods, the ICC the International Court of Arbitration shall, upon the request of any Party, make the appointment(s).</w:t>
      </w:r>
    </w:p>
    <w:p>
      <w:pPr>
        <w:spacing w:after="0" w:line="188" w:lineRule="exact"/>
        <w:rPr>
          <w:rFonts w:ascii="Times New Roman" w:cs="Times New Roman" w:eastAsia="Times New Roman" w:hAnsi="Times New Roman"/>
          <w:sz w:val="20"/>
          <w:szCs w:val="20"/>
          <w:color w:val="auto"/>
        </w:rPr>
      </w:pPr>
    </w:p>
    <w:p>
      <w:pPr>
        <w:jc w:val="both"/>
        <w:ind w:left="200" w:right="219" w:firstLine="1305"/>
        <w:spacing w:after="0" w:line="244" w:lineRule="auto"/>
        <w:tabs>
          <w:tab w:leader="none" w:pos="214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Limitation</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construed as limiting in any way the right of a Party to seek a preliminary injunction or other provisional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82"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10.12 No Third-Party Beneficiaries</w:t>
      </w:r>
      <w:r>
        <w:rPr>
          <w:rFonts w:ascii="Times New Roman" w:cs="Times New Roman" w:eastAsia="Times New Roman" w:hAnsi="Times New Roman"/>
          <w:sz w:val="20"/>
          <w:szCs w:val="20"/>
          <w:color w:val="auto"/>
        </w:rPr>
        <w:t>. No Person other than Century, CDI and their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successors and permitted assignees hereunder, shall be deemed an intended beneficiary hereunder or have any right to enforce any obligation of this Agreement.</w:t>
      </w:r>
    </w:p>
    <w:p>
      <w:pPr>
        <w:spacing w:after="0" w:line="169"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b w:val="1"/>
          <w:bCs w:val="1"/>
          <w:color w:val="auto"/>
        </w:rPr>
        <w:t>10.13 Independent Contractors</w:t>
      </w:r>
      <w:r>
        <w:rPr>
          <w:rFonts w:ascii="Times New Roman" w:cs="Times New Roman" w:eastAsia="Times New Roman" w:hAnsi="Times New Roman"/>
          <w:sz w:val="20"/>
          <w:szCs w:val="20"/>
          <w:color w:val="auto"/>
        </w:rPr>
        <w:t>. It is expressly agreed that Century and CDI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contractors and that the relationship between Century and CDI shall not constitute a partnership, joint venture or agency. Neither Century nor CDI shall have the authority to make any statements, representations, or commitments of any kind, or to take any action, which shall be binding on the other Party, without the prior written consent of such other Party.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633730</wp:posOffset>
            </wp:positionV>
            <wp:extent cx="545211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3" w:name="page244"/>
    <w:bookmarkEnd w:id="243"/>
    <w:p>
      <w:pPr>
        <w:ind w:left="8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set forth</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309"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FUJIFILM CELLULAR DYNAMICS, INC.</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CENTURY THERAPEUTICS, INC.</w:t>
            </w:r>
          </w:p>
        </w:tc>
      </w:tr>
      <w:tr>
        <w:trPr>
          <w:trHeight w:val="730"/>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By: /s/Tomoyuki Hasegawa</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By: /s/Greg Russotti</w:t>
            </w:r>
          </w:p>
        </w:tc>
      </w:tr>
      <w:tr>
        <w:trPr>
          <w:trHeight w:val="20"/>
        </w:trPr>
        <w:tc>
          <w:tcPr>
            <w:tcW w:w="4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92"/>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Name: Tomoyuki Hasegawa</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Greg Russotti, Ph.D.</w:t>
            </w:r>
          </w:p>
        </w:tc>
      </w:tr>
      <w:tr>
        <w:trPr>
          <w:trHeight w:val="459"/>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Interim Chief Executive Officer</w:t>
            </w:r>
          </w:p>
        </w:tc>
      </w:tr>
      <w:tr>
        <w:trPr>
          <w:trHeight w:val="1210"/>
        </w:trPr>
        <w:tc>
          <w:tcPr>
            <w:tcW w:w="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5" w:name="page246"/>
    <w:bookmarkEnd w:id="24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18" w:lineRule="exact"/>
        <w:rPr>
          <w:sz w:val="20"/>
          <w:szCs w:val="20"/>
          <w:color w:val="auto"/>
        </w:rPr>
      </w:pPr>
    </w:p>
    <w:tbl>
      <w:tblPr>
        <w:tblLayout w:type="fixed"/>
        <w:tblInd w:w="230" w:type="dxa"/>
        <w:tblCellMar>
          <w:top w:w="0" w:type="dxa"/>
          <w:left w:w="0" w:type="dxa"/>
          <w:bottom w:w="0" w:type="dxa"/>
          <w:right w:w="0" w:type="dxa"/>
        </w:tblCellMar>
      </w:tblPr>
      <w:tr>
        <w:trPr>
          <w:trHeight w:val="493"/>
        </w:trPr>
        <w:tc>
          <w:tcPr>
            <w:tcW w:w="3860" w:type="dxa"/>
            <w:vAlign w:val="bottom"/>
            <w:tcBorders>
              <w:top w:val="single" w:sz="8" w:color="auto"/>
              <w:left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286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82"/>
        </w:trPr>
        <w:tc>
          <w:tcPr>
            <w:tcW w:w="3860" w:type="dxa"/>
            <w:vAlign w:val="bottom"/>
            <w:tcBorders>
              <w:left w:val="single" w:sz="8" w:color="auto"/>
              <w:right w:val="single" w:sz="8" w:color="auto"/>
            </w:tcBorders>
          </w:tcPr>
          <w:p>
            <w:pPr>
              <w:jc w:val="right"/>
              <w:ind w:right="3192"/>
              <w:spacing w:after="0"/>
              <w:rPr>
                <w:sz w:val="20"/>
                <w:szCs w:val="20"/>
                <w:color w:val="auto"/>
              </w:rPr>
            </w:pPr>
            <w:r>
              <w:rPr>
                <w:rFonts w:ascii="Times New Roman" w:cs="Times New Roman" w:eastAsia="Times New Roman" w:hAnsi="Times New Roman"/>
                <w:sz w:val="22"/>
                <w:szCs w:val="22"/>
                <w:color w:val="auto"/>
              </w:rPr>
              <w:t>[***]</w:t>
            </w:r>
          </w:p>
        </w:tc>
        <w:tc>
          <w:tcPr>
            <w:tcW w:w="18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w:t>
            </w: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r>
      <w:tr>
        <w:trPr>
          <w:trHeight w:val="184"/>
        </w:trPr>
        <w:tc>
          <w:tcPr>
            <w:tcW w:w="3860" w:type="dxa"/>
            <w:vAlign w:val="bottom"/>
            <w:tcBorders>
              <w:left w:val="single" w:sz="8" w:color="auto"/>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006"/>
        </w:trPr>
        <w:tc>
          <w:tcPr>
            <w:tcW w:w="3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7" w:name="page248"/>
    <w:bookmarkEnd w:id="2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00" w:hanging="326"/>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333-265975) of Century Therapeutics, Inc.,</w:t>
      </w:r>
    </w:p>
    <w:p>
      <w:pPr>
        <w:spacing w:after="0" w:line="27" w:lineRule="exact"/>
        <w:rPr>
          <w:rFonts w:ascii="Times New Roman" w:cs="Times New Roman" w:eastAsia="Times New Roman" w:hAnsi="Times New Roman"/>
          <w:sz w:val="18"/>
          <w:szCs w:val="18"/>
          <w:color w:val="auto"/>
        </w:rPr>
      </w:pPr>
    </w:p>
    <w:p>
      <w:pPr>
        <w:ind w:left="700" w:right="659" w:hanging="326"/>
        <w:spacing w:after="0" w:line="266" w:lineRule="auto"/>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333-263666) pertaining to the 2021 Equity Incentive Plan and 2021 Employee Stock Purchase Plan of Century Therapeutics, Inc.</w:t>
      </w:r>
    </w:p>
    <w:p>
      <w:pPr>
        <w:ind w:left="700" w:right="459" w:hanging="326"/>
        <w:spacing w:after="0" w:line="292" w:lineRule="auto"/>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333-257644) pertaining to the 2018 Stock Option and Gant Plan, 2021 Equity Incentive Plan, and the 2021 Employee Stock Purchase Plan of Century Therapeutics, Inc.</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our report dated March 14, 2024, with respect to the consolidated financial statements of Century Therapeutics,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in this Annual Report (Form 10-K) of Century Therapeutics, Inc. for the year ended December 31,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Carr, certify that:</w:t>
      </w:r>
    </w:p>
    <w:p>
      <w:pPr>
        <w:spacing w:after="0" w:line="117" w:lineRule="exact"/>
        <w:rPr>
          <w:sz w:val="20"/>
          <w:szCs w:val="20"/>
          <w:color w:val="auto"/>
        </w:rPr>
      </w:pPr>
    </w:p>
    <w:p>
      <w:pPr>
        <w:ind w:left="880" w:hanging="440"/>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3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2" w:name="page253"/>
    <w:bookmarkEnd w:id="252"/>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Adopted as of September 14, 2023</w:t>
      </w:r>
    </w:p>
    <w:p>
      <w:pPr>
        <w:spacing w:after="0" w:line="224" w:lineRule="exact"/>
        <w:rPr>
          <w:sz w:val="20"/>
          <w:szCs w:val="20"/>
          <w:color w:val="auto"/>
        </w:rPr>
      </w:pPr>
    </w:p>
    <w:p>
      <w:pPr>
        <w:ind w:left="200" w:right="239"/>
        <w:spacing w:after="0" w:line="271" w:lineRule="auto"/>
        <w:rPr>
          <w:sz w:val="20"/>
          <w:szCs w:val="20"/>
          <w:color w:val="auto"/>
        </w:rPr>
      </w:pPr>
      <w:r>
        <w:rPr>
          <w:rFonts w:ascii="Times New Roman" w:cs="Times New Roman" w:eastAsia="Times New Roman" w:hAnsi="Times New Roman"/>
          <w:sz w:val="22"/>
          <w:szCs w:val="22"/>
          <w:color w:val="auto"/>
        </w:rPr>
        <w:t>Century Therapeutics, Inc., a Delaware corporation (the “Company”), has adopted a Compensation Recovery Policy (this “Policy”) as described below.</w:t>
      </w:r>
    </w:p>
    <w:p>
      <w:pPr>
        <w:spacing w:after="0" w:line="154" w:lineRule="exact"/>
        <w:rPr>
          <w:sz w:val="20"/>
          <w:szCs w:val="20"/>
          <w:color w:val="auto"/>
        </w:rPr>
      </w:pPr>
    </w:p>
    <w:p>
      <w:pPr>
        <w:ind w:left="860" w:hanging="651"/>
        <w:spacing w:after="0"/>
        <w:tabs>
          <w:tab w:leader="none" w:pos="8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24" w:lineRule="exact"/>
        <w:rPr>
          <w:sz w:val="20"/>
          <w:szCs w:val="20"/>
          <w:color w:val="auto"/>
        </w:rPr>
      </w:pPr>
    </w:p>
    <w:p>
      <w:pPr>
        <w:ind w:left="200" w:right="299"/>
        <w:spacing w:after="0" w:line="24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Capitalized terms used and not otherwise defined herein shall have the meanings given in Section 3 below.</w:t>
      </w:r>
    </w:p>
    <w:p>
      <w:pPr>
        <w:spacing w:after="0" w:line="183" w:lineRule="exact"/>
        <w:rPr>
          <w:sz w:val="20"/>
          <w:szCs w:val="20"/>
          <w:color w:val="auto"/>
        </w:rPr>
      </w:pPr>
    </w:p>
    <w:p>
      <w:pPr>
        <w:ind w:left="860" w:hanging="651"/>
        <w:spacing w:after="0"/>
        <w:tabs>
          <w:tab w:leader="none" w:pos="8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24" w:lineRule="exact"/>
        <w:rPr>
          <w:sz w:val="20"/>
          <w:szCs w:val="20"/>
          <w:color w:val="auto"/>
        </w:rPr>
      </w:pPr>
    </w:p>
    <w:p>
      <w:pPr>
        <w:ind w:left="200" w:right="819"/>
        <w:spacing w:after="0" w:line="263"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63" w:lineRule="exact"/>
        <w:rPr>
          <w:sz w:val="20"/>
          <w:szCs w:val="20"/>
          <w:color w:val="auto"/>
        </w:rPr>
      </w:pPr>
    </w:p>
    <w:p>
      <w:pPr>
        <w:ind w:left="860" w:hanging="651"/>
        <w:spacing w:after="0"/>
        <w:tabs>
          <w:tab w:leader="none" w:pos="8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3" w:lineRule="exact"/>
        <w:rPr>
          <w:rFonts w:ascii="Times New Roman" w:cs="Times New Roman" w:eastAsia="Times New Roman" w:hAnsi="Times New Roman"/>
          <w:sz w:val="22"/>
          <w:szCs w:val="22"/>
          <w:b w:val="1"/>
          <w:bCs w:val="1"/>
          <w:color w:val="auto"/>
        </w:rPr>
      </w:pPr>
    </w:p>
    <w:p>
      <w:pPr>
        <w:ind w:left="1180" w:right="439" w:hanging="323"/>
        <w:spacing w:after="0" w:line="248" w:lineRule="auto"/>
        <w:tabs>
          <w:tab w:leader="none" w:pos="11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86" w:lineRule="exact"/>
        <w:rPr>
          <w:rFonts w:ascii="Times New Roman" w:cs="Times New Roman" w:eastAsia="Times New Roman" w:hAnsi="Times New Roman"/>
          <w:sz w:val="22"/>
          <w:szCs w:val="22"/>
          <w:color w:val="auto"/>
        </w:rPr>
      </w:pPr>
    </w:p>
    <w:p>
      <w:pPr>
        <w:ind w:left="1180" w:right="339" w:hanging="323"/>
        <w:spacing w:after="0" w:line="257" w:lineRule="auto"/>
        <w:tabs>
          <w:tab w:leader="none" w:pos="11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172"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19" w:lineRule="exact"/>
        <w:rPr>
          <w:rFonts w:ascii="Times New Roman" w:cs="Times New Roman" w:eastAsia="Times New Roman" w:hAnsi="Times New Roman"/>
          <w:sz w:val="22"/>
          <w:szCs w:val="22"/>
          <w:color w:val="auto"/>
        </w:rPr>
      </w:pPr>
    </w:p>
    <w:p>
      <w:pPr>
        <w:ind w:left="1180" w:right="519" w:hanging="323"/>
        <w:spacing w:after="0" w:line="271" w:lineRule="auto"/>
        <w:tabs>
          <w:tab w:leader="none" w:pos="11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of the Board or, in the absence of such committee, a majority of independent directors serving on the Board.</w:t>
      </w:r>
    </w:p>
    <w:p>
      <w:pPr>
        <w:spacing w:after="0" w:line="157" w:lineRule="exact"/>
        <w:rPr>
          <w:rFonts w:ascii="Times New Roman" w:cs="Times New Roman" w:eastAsia="Times New Roman" w:hAnsi="Times New Roman"/>
          <w:sz w:val="22"/>
          <w:szCs w:val="22"/>
          <w:color w:val="auto"/>
        </w:rPr>
      </w:pPr>
    </w:p>
    <w:p>
      <w:pPr>
        <w:ind w:left="1180" w:right="319" w:hanging="323"/>
        <w:spacing w:after="0" w:line="268" w:lineRule="auto"/>
        <w:tabs>
          <w:tab w:leader="none" w:pos="118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626745</wp:posOffset>
            </wp:positionV>
            <wp:extent cx="545211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53" w:name="page254"/>
    <w:bookmarkEnd w:id="253"/>
    <w:p>
      <w:pPr>
        <w:ind w:left="1180" w:right="419"/>
        <w:spacing w:after="0" w:line="250" w:lineRule="auto"/>
        <w:rPr>
          <w:sz w:val="20"/>
          <w:szCs w:val="20"/>
          <w:color w:val="auto"/>
        </w:rPr>
      </w:pPr>
      <w:r>
        <w:rPr>
          <w:rFonts w:ascii="Times New Roman" w:cs="Times New Roman" w:eastAsia="Times New Roman" w:hAnsi="Times New Roman"/>
          <w:sz w:val="22"/>
          <w:szCs w:val="22"/>
          <w:color w:val="auto"/>
        </w:rPr>
        <w:t>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67" w:lineRule="exact"/>
        <w:rPr>
          <w:sz w:val="20"/>
          <w:szCs w:val="20"/>
          <w:color w:val="auto"/>
        </w:rPr>
      </w:pPr>
    </w:p>
    <w:p>
      <w:pPr>
        <w:ind w:left="1180" w:hanging="323"/>
        <w:spacing w:after="0"/>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[_____] [___], 2023.</w:t>
      </w:r>
    </w:p>
    <w:p>
      <w:pPr>
        <w:spacing w:after="0" w:line="219" w:lineRule="exact"/>
        <w:rPr>
          <w:rFonts w:ascii="Times New Roman" w:cs="Times New Roman" w:eastAsia="Times New Roman" w:hAnsi="Times New Roman"/>
          <w:sz w:val="22"/>
          <w:szCs w:val="22"/>
          <w:color w:val="auto"/>
        </w:rPr>
      </w:pPr>
    </w:p>
    <w:p>
      <w:pPr>
        <w:ind w:left="1180" w:right="239" w:hanging="323"/>
        <w:spacing w:after="0" w:line="246" w:lineRule="auto"/>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98"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means the Nasdaq Stock Market LLC.</w:t>
      </w:r>
    </w:p>
    <w:p>
      <w:pPr>
        <w:spacing w:after="0" w:line="219" w:lineRule="exact"/>
        <w:rPr>
          <w:rFonts w:ascii="Times New Roman" w:cs="Times New Roman" w:eastAsia="Times New Roman" w:hAnsi="Times New Roman"/>
          <w:sz w:val="22"/>
          <w:szCs w:val="22"/>
          <w:color w:val="auto"/>
        </w:rPr>
      </w:pPr>
    </w:p>
    <w:p>
      <w:pPr>
        <w:ind w:left="1180" w:right="299" w:hanging="323"/>
        <w:spacing w:after="0" w:line="247" w:lineRule="auto"/>
        <w:tabs>
          <w:tab w:leader="none" w:pos="11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69" w:lineRule="exact"/>
        <w:rPr>
          <w:rFonts w:ascii="Times New Roman" w:cs="Times New Roman" w:eastAsia="Times New Roman" w:hAnsi="Times New Roman"/>
          <w:sz w:val="22"/>
          <w:szCs w:val="22"/>
          <w:color w:val="auto"/>
        </w:rPr>
      </w:pPr>
    </w:p>
    <w:p>
      <w:pPr>
        <w:jc w:val="both"/>
        <w:ind w:left="1180" w:right="479" w:hanging="323"/>
        <w:spacing w:after="0" w:line="275" w:lineRule="auto"/>
        <w:tabs>
          <w:tab w:leader="none" w:pos="118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Reporting Measures” mean measures that are determined and presented in accordance with the accounting principles used in preparing the Company’s financial statements, any measures that are derived wholly or in part from such measures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654050</wp:posOffset>
            </wp:positionV>
            <wp:extent cx="545211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4" w:name="page255"/>
    <w:bookmarkEnd w:id="254"/>
    <w:p>
      <w:pPr>
        <w:ind w:left="1180" w:right="679"/>
        <w:spacing w:after="0" w:line="271" w:lineRule="auto"/>
        <w:rPr>
          <w:sz w:val="20"/>
          <w:szCs w:val="20"/>
          <w:color w:val="auto"/>
        </w:rPr>
      </w:pPr>
      <w:r>
        <w:rPr>
          <w:rFonts w:ascii="Times New Roman" w:cs="Times New Roman" w:eastAsia="Times New Roman" w:hAnsi="Times New Roman"/>
          <w:sz w:val="22"/>
          <w:szCs w:val="22"/>
          <w:color w:val="auto"/>
        </w:rPr>
        <w:t>(including, for example, a non-GAAP financial measure), and stock price and total shareholder return.</w:t>
      </w:r>
    </w:p>
    <w:p>
      <w:pPr>
        <w:spacing w:after="0" w:line="158" w:lineRule="exact"/>
        <w:rPr>
          <w:sz w:val="20"/>
          <w:szCs w:val="20"/>
          <w:color w:val="auto"/>
        </w:rPr>
      </w:pPr>
    </w:p>
    <w:p>
      <w:pPr>
        <w:ind w:left="1180" w:right="519" w:hanging="323"/>
        <w:spacing w:after="0" w:line="275" w:lineRule="auto"/>
        <w:tabs>
          <w:tab w:leader="none" w:pos="118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“Incentive-Based Compensation” means any compensation provided, directly or indirectly, by the Company or any of its subsidiaries that is granted, earned or vested based, in whole or in part, upon the attainment of a Financial Reporting Measure.</w:t>
      </w:r>
    </w:p>
    <w:p>
      <w:pPr>
        <w:spacing w:after="0" w:line="155" w:lineRule="exact"/>
        <w:rPr>
          <w:rFonts w:ascii="Times New Roman" w:cs="Times New Roman" w:eastAsia="Times New Roman" w:hAnsi="Times New Roman"/>
          <w:sz w:val="21"/>
          <w:szCs w:val="21"/>
          <w:color w:val="auto"/>
        </w:rPr>
      </w:pPr>
    </w:p>
    <w:p>
      <w:pPr>
        <w:ind w:left="1180" w:right="319" w:hanging="323"/>
        <w:spacing w:after="0" w:line="250" w:lineRule="auto"/>
        <w:tabs>
          <w:tab w:leader="none" w:pos="11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66" w:lineRule="exact"/>
        <w:rPr>
          <w:rFonts w:ascii="Times New Roman" w:cs="Times New Roman" w:eastAsia="Times New Roman" w:hAnsi="Times New Roman"/>
          <w:sz w:val="22"/>
          <w:szCs w:val="22"/>
          <w:color w:val="auto"/>
        </w:rPr>
      </w:pPr>
    </w:p>
    <w:p>
      <w:pPr>
        <w:ind w:left="1180" w:right="259" w:hanging="323"/>
        <w:spacing w:after="0" w:line="253" w:lineRule="auto"/>
        <w:tabs>
          <w:tab w:leader="none" w:pos="11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61"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24" w:lineRule="exact"/>
        <w:rPr>
          <w:sz w:val="20"/>
          <w:szCs w:val="20"/>
          <w:color w:val="auto"/>
        </w:rPr>
      </w:pPr>
    </w:p>
    <w:p>
      <w:pPr>
        <w:ind w:left="200" w:right="339"/>
        <w:spacing w:after="0" w:line="249"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8" w:lineRule="exact"/>
        <w:rPr>
          <w:sz w:val="20"/>
          <w:szCs w:val="20"/>
          <w:color w:val="auto"/>
        </w:rPr>
      </w:pPr>
    </w:p>
    <w:p>
      <w:pPr>
        <w:ind w:left="860" w:hanging="651"/>
        <w:spacing w:after="0"/>
        <w:tabs>
          <w:tab w:leader="none" w:pos="8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24" w:lineRule="exact"/>
        <w:rPr>
          <w:sz w:val="20"/>
          <w:szCs w:val="20"/>
          <w:color w:val="auto"/>
        </w:rPr>
      </w:pPr>
    </w:p>
    <w:p>
      <w:pPr>
        <w:ind w:left="200" w:right="399"/>
        <w:spacing w:after="0" w:line="252"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5" w:lineRule="exact"/>
        <w:rPr>
          <w:sz w:val="20"/>
          <w:szCs w:val="20"/>
          <w:color w:val="auto"/>
        </w:rPr>
      </w:pPr>
    </w:p>
    <w:p>
      <w:pPr>
        <w:ind w:left="860" w:hanging="651"/>
        <w:spacing w:after="0"/>
        <w:tabs>
          <w:tab w:leader="none" w:pos="8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24" w:lineRule="exact"/>
        <w:rPr>
          <w:sz w:val="20"/>
          <w:szCs w:val="20"/>
          <w:color w:val="auto"/>
        </w:rPr>
      </w:pPr>
    </w:p>
    <w:p>
      <w:pPr>
        <w:ind w:left="200" w:right="339"/>
        <w:spacing w:after="0" w:line="257"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73" w:lineRule="exact"/>
        <w:rPr>
          <w:sz w:val="20"/>
          <w:szCs w:val="20"/>
          <w:color w:val="auto"/>
        </w:rPr>
      </w:pPr>
    </w:p>
    <w:p>
      <w:pPr>
        <w:ind w:left="4440" w:right="499" w:hanging="3259"/>
        <w:spacing w:after="0" w:line="693" w:lineRule="auto"/>
        <w:tabs>
          <w:tab w:leader="none" w:pos="149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5" w:name="page256"/>
    <w:bookmarkEnd w:id="255"/>
    <w:p>
      <w:pPr>
        <w:ind w:left="1500" w:right="699" w:hanging="319"/>
        <w:spacing w:after="0" w:line="271" w:lineRule="auto"/>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7" w:lineRule="exact"/>
        <w:rPr>
          <w:rFonts w:ascii="Times New Roman" w:cs="Times New Roman" w:eastAsia="Times New Roman" w:hAnsi="Times New Roman"/>
          <w:sz w:val="22"/>
          <w:szCs w:val="22"/>
          <w:color w:val="auto"/>
        </w:rPr>
      </w:pPr>
    </w:p>
    <w:p>
      <w:pPr>
        <w:ind w:left="1500" w:right="539" w:hanging="319"/>
        <w:spacing w:after="0" w:line="271" w:lineRule="auto"/>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157"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19"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offsetting against planned future grants of equity-based awards; and/or</w:t>
      </w:r>
    </w:p>
    <w:p>
      <w:pPr>
        <w:spacing w:after="0" w:line="231" w:lineRule="exact"/>
        <w:rPr>
          <w:rFonts w:ascii="Times New Roman" w:cs="Times New Roman" w:eastAsia="Times New Roman" w:hAnsi="Times New Roman"/>
          <w:sz w:val="21"/>
          <w:szCs w:val="21"/>
          <w:color w:val="auto"/>
        </w:rPr>
      </w:pPr>
    </w:p>
    <w:p>
      <w:pPr>
        <w:ind w:left="1500" w:hanging="319"/>
        <w:spacing w:after="0"/>
        <w:tabs>
          <w:tab w:leader="none" w:pos="15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20" w:lineRule="exact"/>
        <w:rPr>
          <w:sz w:val="20"/>
          <w:szCs w:val="20"/>
          <w:color w:val="auto"/>
        </w:rPr>
      </w:pPr>
    </w:p>
    <w:p>
      <w:pPr>
        <w:ind w:left="200" w:right="339"/>
        <w:spacing w:after="0" w:line="253"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5" w:lineRule="exact"/>
        <w:rPr>
          <w:sz w:val="20"/>
          <w:szCs w:val="20"/>
          <w:color w:val="auto"/>
        </w:rPr>
      </w:pPr>
    </w:p>
    <w:p>
      <w:pPr>
        <w:ind w:left="860" w:hanging="651"/>
        <w:spacing w:after="0"/>
        <w:tabs>
          <w:tab w:leader="none" w:pos="8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24" w:lineRule="exact"/>
        <w:rPr>
          <w:sz w:val="20"/>
          <w:szCs w:val="20"/>
          <w:color w:val="auto"/>
        </w:rPr>
      </w:pPr>
    </w:p>
    <w:p>
      <w:pPr>
        <w:ind w:left="200" w:right="219"/>
        <w:spacing w:after="0" w:line="247"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81" w:lineRule="exact"/>
        <w:rPr>
          <w:sz w:val="20"/>
          <w:szCs w:val="20"/>
          <w:color w:val="auto"/>
        </w:rPr>
      </w:pPr>
    </w:p>
    <w:p>
      <w:pPr>
        <w:ind w:left="860" w:hanging="651"/>
        <w:spacing w:after="0"/>
        <w:tabs>
          <w:tab w:leader="none" w:pos="8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24" w:lineRule="exact"/>
        <w:rPr>
          <w:sz w:val="20"/>
          <w:szCs w:val="20"/>
          <w:color w:val="auto"/>
        </w:rPr>
      </w:pPr>
    </w:p>
    <w:p>
      <w:pPr>
        <w:ind w:left="200" w:right="299"/>
        <w:spacing w:after="0" w:line="245"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91" w:lineRule="exact"/>
        <w:rPr>
          <w:sz w:val="20"/>
          <w:szCs w:val="20"/>
          <w:color w:val="auto"/>
        </w:rPr>
      </w:pPr>
    </w:p>
    <w:p>
      <w:pPr>
        <w:ind w:left="4440" w:right="1859" w:hanging="4231"/>
        <w:spacing w:after="0" w:line="697" w:lineRule="auto"/>
        <w:tabs>
          <w:tab w:leader="none" w:pos="849"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Compensation Recovery Repayments not Subject to Indemnification </w:t>
      </w: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56" w:name="page257"/>
    <w:bookmarkEnd w:id="256"/>
    <w:p>
      <w:pPr>
        <w:ind w:left="200" w:right="399"/>
        <w:spacing w:after="0" w:line="256"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654050</wp:posOffset>
            </wp:positionV>
            <wp:extent cx="545211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1)"/>
      <w:numFmt w:val="decimal"/>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1."/>
      <w:numFmt w:val="upperLetter"/>
      <w:start w:val="1"/>
    </w:lvl>
  </w:abstractNum>
  <w:abstractNum w:abstractNumId="10">
    <w:nsid w:val="5DB70AE5"/>
    <w:multiLevelType w:val="hybridMultilevel"/>
    <w:lvl w:ilvl="0">
      <w:lvlJc w:val="left"/>
      <w:lvlText w:val="(%1)"/>
      <w:numFmt w:val="decimal"/>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1)"/>
      <w:numFmt w:val="lowerRoman"/>
      <w:start w:val="2"/>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1)"/>
      <w:numFmt w:val="lowerRoman"/>
      <w:start w:val="4"/>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1."/>
      <w:numFmt w:val="decimal"/>
      <w:start w:val="606"/>
    </w:lvl>
  </w:abstractNum>
  <w:abstractNum w:abstractNumId="67">
    <w:nsid w:val="5FB8370B"/>
    <w:multiLevelType w:val="hybridMultilevel"/>
    <w:lvl w:ilvl="0">
      <w:lvlJc w:val="left"/>
      <w:lvlText w:val="%1"/>
      <w:numFmt w:val="decimal"/>
      <w:start w:val="606"/>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
      <w:numFmt w:val="bullet"/>
      <w:start w:val="1"/>
    </w:lvl>
    <w:lvl w:ilvl="1">
      <w:lvlJc w:val="left"/>
      <w:lvlText w:val="%2"/>
      <w:numFmt w:val="decimal"/>
      <w:start w:val="104"/>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1."/>
      <w:numFmt w:val="decimal"/>
      <w:start w:val="1"/>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3"/>
    </w:lvl>
  </w:abstractNum>
  <w:abstractNum w:abstractNumId="77">
    <w:nsid w:val="73A1821B"/>
    <w:multiLevelType w:val="hybridMultilevel"/>
    <w:lvl w:ilvl="0">
      <w:lvlJc w:val="left"/>
      <w:lvlText w:val="(%1)"/>
      <w:numFmt w:val="lowerRoman"/>
      <w:start w:val="1"/>
    </w:lvl>
  </w:abstractNum>
  <w:abstractNum w:abstractNumId="78">
    <w:nsid w:val="7DE67713"/>
    <w:multiLevelType w:val="hybridMultilevel"/>
    <w:lvl w:ilvl="0">
      <w:lvlJc w:val="left"/>
      <w:lvlText w:val="(%1)"/>
      <w:numFmt w:val="decimal"/>
      <w:start w:val="12"/>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1)"/>
      <w:numFmt w:val="lowerRoman"/>
      <w:start w:val="2"/>
    </w:lvl>
  </w:abstractNum>
  <w:abstractNum w:abstractNumId="81">
    <w:nsid w:val="14FCE74E"/>
    <w:multiLevelType w:val="hybridMultilevel"/>
    <w:lvl w:ilvl="0">
      <w:lvlJc w:val="left"/>
      <w:lvlText w:val="(%1)"/>
      <w:numFmt w:val="lowerLetter"/>
      <w:start w:val="1"/>
    </w:lvl>
  </w:abstractNum>
  <w:abstractNum w:abstractNumId="82">
    <w:nsid w:val="6A3DD3E8"/>
    <w:multiLevelType w:val="hybridMultilevel"/>
    <w:lvl w:ilvl="0">
      <w:lvlJc w:val="left"/>
      <w:lvlText w:val="(%1)"/>
      <w:numFmt w:val="lowerLetter"/>
      <w:start w:val="1"/>
    </w:lvl>
  </w:abstractNum>
  <w:abstractNum w:abstractNumId="83">
    <w:nsid w:val="71C91298"/>
    <w:multiLevelType w:val="hybridMultilevel"/>
    <w:lvl w:ilvl="0">
      <w:lvlJc w:val="left"/>
      <w:lvlText w:val="(%1)"/>
      <w:numFmt w:val="lowerLetter"/>
      <w:start w:val="6"/>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1"/>
    </w:lvl>
  </w:abstractNum>
  <w:abstractNum w:abstractNumId="87">
    <w:nsid w:val="5092CA79"/>
    <w:multiLevelType w:val="hybridMultilevel"/>
    <w:lvl w:ilvl="0">
      <w:lvlJc w:val="left"/>
      <w:lvlText w:val="(%1)"/>
      <w:numFmt w:val="lowerLetter"/>
      <w:start w:val="5"/>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lowerLetter"/>
      <w:start w:val="3"/>
    </w:lvl>
  </w:abstractNum>
  <w:abstractNum w:abstractNumId="95">
    <w:nsid w:val="1CA0C5FA"/>
    <w:multiLevelType w:val="hybridMultilevel"/>
    <w:lvl w:ilvl="0">
      <w:lvlJc w:val="left"/>
      <w:lvlText w:val="(%1)"/>
      <w:numFmt w:val="lowerLetter"/>
      <w:start w:val="1"/>
    </w:lvl>
  </w:abstractNum>
  <w:abstractNum w:abstractNumId="96">
    <w:nsid w:val="53584BCB"/>
    <w:multiLevelType w:val="hybridMultilevel"/>
    <w:lvl w:ilvl="0">
      <w:lvlJc w:val="left"/>
      <w:lvlText w:val="(%1)"/>
      <w:numFmt w:val="lowerLetter"/>
      <w:start w:val="4"/>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2"/>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1"/>
    </w:lvl>
  </w:abstractNum>
  <w:abstractNum w:abstractNumId="102">
    <w:nsid w:val="E7FFA2B"/>
    <w:multiLevelType w:val="hybridMultilevel"/>
    <w:lvl w:ilvl="0">
      <w:lvlJc w:val="left"/>
      <w:lvlText w:val="(%1)"/>
      <w:numFmt w:val="lowerLetter"/>
      <w:start w:val="2"/>
    </w:lvl>
  </w:abstractNum>
  <w:abstractNum w:abstractNumId="103">
    <w:nsid w:val="3C5991AA"/>
    <w:multiLevelType w:val="hybridMultilevel"/>
    <w:lvl w:ilvl="0">
      <w:lvlJc w:val="left"/>
      <w:lvlText w:val="(%1)"/>
      <w:numFmt w:val="lowerLetter"/>
      <w:start w:val="20"/>
    </w:lvl>
  </w:abstractNum>
  <w:abstractNum w:abstractNumId="104">
    <w:nsid w:val="4BD8591A"/>
    <w:multiLevelType w:val="hybridMultilevel"/>
    <w:lvl w:ilvl="0">
      <w:lvlJc w:val="left"/>
      <w:lvlText w:val="[***]"/>
      <w:numFmt w:val="bullet"/>
      <w:start w:val="1"/>
    </w:lvl>
    <w:lvl w:ilvl="1">
      <w:lvlJc w:val="left"/>
      <w:lvlText w:val="(%2)"/>
      <w:numFmt w:val="lowerLetter"/>
      <w:start w:val="1"/>
    </w:lvl>
  </w:abstractNum>
  <w:abstractNum w:abstractNumId="105">
    <w:nsid w:val="78DF6A55"/>
    <w:multiLevelType w:val="hybridMultilevel"/>
    <w:lvl w:ilvl="0">
      <w:lvlJc w:val="left"/>
      <w:lvlText w:val="[***]"/>
      <w:numFmt w:val="bullet"/>
      <w:start w:val="1"/>
    </w:lvl>
    <w:lvl w:ilvl="1">
      <w:lvlJc w:val="left"/>
      <w:lvlText w:val="(%2)"/>
      <w:numFmt w:val="lowerLetter"/>
      <w:start w:val="2"/>
    </w:lvl>
  </w:abstractNum>
  <w:abstractNum w:abstractNumId="106">
    <w:nsid w:val="39B7AAA2"/>
    <w:multiLevelType w:val="hybridMultilevel"/>
    <w:lvl w:ilvl="0">
      <w:lvlJc w:val="left"/>
      <w:lvlText w:val="[***]"/>
      <w:numFmt w:val="bullet"/>
      <w:start w:val="1"/>
    </w:lvl>
    <w:lvl w:ilvl="1">
      <w:lvlJc w:val="left"/>
      <w:lvlText w:val="(%2)"/>
      <w:numFmt w:val="lowerLetter"/>
      <w:start w:val="3"/>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decimal"/>
      <w:start w:val="1"/>
    </w:lvl>
    <w:lvl w:ilvl="1">
      <w:lvlJc w:val="left"/>
      <w:lvlText w:val="(%2)"/>
      <w:numFmt w:val="lowerLetter"/>
      <w:start w:val="1"/>
    </w:lvl>
  </w:abstractNum>
  <w:abstractNum w:abstractNumId="109">
    <w:nsid w:val="379E21B5"/>
    <w:multiLevelType w:val="hybridMultilevel"/>
    <w:lvl w:ilvl="0">
      <w:lvlJc w:val="left"/>
      <w:lvlText w:val="%1."/>
      <w:numFmt w:val="decimal"/>
      <w:start w:val="1"/>
    </w:lvl>
    <w:lvl w:ilvl="1">
      <w:lvlJc w:val="left"/>
      <w:lvlText w:val="(%2)"/>
      <w:numFmt w:val="lowerLetter"/>
      <w:start w:val="1"/>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1)"/>
      <w:numFmt w:val="decimal"/>
      <w:start w:val="1"/>
    </w:lvl>
  </w:abstractNum>
  <w:abstractNum w:abstractNumId="112">
    <w:nsid w:val="4C9B0904"/>
    <w:multiLevelType w:val="hybridMultilevel"/>
    <w:lvl w:ilvl="0">
      <w:lvlJc w:val="left"/>
      <w:lvlText w:val="%1."/>
      <w:numFmt w:val="decimal"/>
      <w:start w:val="1"/>
    </w:lvl>
  </w:abstractNum>
  <w:abstractNum w:abstractNumId="113">
    <w:nsid w:val="6AA7B75C"/>
    <w:multiLevelType w:val="hybridMultilevel"/>
    <w:lvl w:ilvl="0">
      <w:lvlJc w:val="left"/>
      <w:lvlText w:val="%1."/>
      <w:numFmt w:val="decimal"/>
      <w:start w:val="2"/>
    </w:lvl>
  </w:abstractNum>
  <w:abstractNum w:abstractNumId="114">
    <w:nsid w:val="1DF029D3"/>
    <w:multiLevelType w:val="hybridMultilevel"/>
    <w:lvl w:ilvl="0">
      <w:lvlJc w:val="left"/>
      <w:lvlText w:val="%1."/>
      <w:numFmt w:val="decimal"/>
      <w:start w:val="3"/>
    </w:lvl>
    <w:lvl w:ilvl="1">
      <w:lvlJc w:val="left"/>
      <w:lvlText w:val="%2."/>
      <w:numFmt w:val="lowerLetter"/>
      <w:start w:val="1"/>
    </w:lvl>
  </w:abstractNum>
  <w:abstractNum w:abstractNumId="115">
    <w:nsid w:val="5675FF36"/>
    <w:multiLevelType w:val="hybridMultilevel"/>
    <w:lvl w:ilvl="0">
      <w:lvlJc w:val="left"/>
      <w:lvlText w:val="%1."/>
      <w:numFmt w:val="lowerLetter"/>
      <w:start w:val="6"/>
    </w:lvl>
  </w:abstractNum>
  <w:abstractNum w:abstractNumId="116">
    <w:nsid w:val="3DD15094"/>
    <w:multiLevelType w:val="hybridMultilevel"/>
    <w:lvl w:ilvl="0">
      <w:lvlJc w:val="left"/>
      <w:lvlText w:val="%1"/>
      <w:numFmt w:val="decimal"/>
      <w:start w:val="1"/>
    </w:lvl>
    <w:lvl w:ilvl="1">
      <w:lvlJc w:val="left"/>
      <w:lvlText w:val="%2."/>
      <w:numFmt w:val="lowerLetter"/>
      <w:start w:val="11"/>
    </w:lvl>
  </w:abstractNum>
  <w:abstractNum w:abstractNumId="117">
    <w:nsid w:val="3DB012B3"/>
    <w:multiLevelType w:val="hybridMultilevel"/>
    <w:lvl w:ilvl="0">
      <w:lvlJc w:val="left"/>
      <w:lvlText w:val="%1."/>
      <w:numFmt w:val="decimal"/>
      <w:start w:val="4"/>
    </w:lvl>
    <w:lvl w:ilvl="1">
      <w:lvlJc w:val="left"/>
      <w:lvlText w:val="%2"/>
      <w:numFmt w:val="lowerLetter"/>
      <w:start w:val="1"/>
    </w:lvl>
  </w:abstractNum>
  <w:abstractNum w:abstractNumId="118">
    <w:nsid w:val="2708C9AF"/>
    <w:multiLevelType w:val="hybridMultilevel"/>
    <w:lvl w:ilvl="0">
      <w:lvlJc w:val="left"/>
      <w:lvlText w:val="%1."/>
      <w:numFmt w:val="decimal"/>
      <w:start w:val="6"/>
    </w:lvl>
  </w:abstractNum>
  <w:abstractNum w:abstractNumId="119">
    <w:nsid w:val="5B25ACE2"/>
    <w:multiLevelType w:val="hybridMultilevel"/>
    <w:lvl w:ilvl="0">
      <w:lvlJc w:val="left"/>
      <w:lvlText w:val="%1."/>
      <w:numFmt w:val="decimal"/>
      <w:start w:val="7"/>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2"/>
    </w:lvl>
  </w:abstractNum>
  <w:abstractNum w:abstractNumId="122">
    <w:nsid w:val="53B0A9E"/>
    <w:multiLevelType w:val="hybridMultilevel"/>
    <w:lvl w:ilvl="0">
      <w:lvlJc w:val="left"/>
      <w:lvlText w:val="%1."/>
      <w:numFmt w:val="decimal"/>
      <w:start w:val="8"/>
    </w:lvl>
  </w:abstractNum>
  <w:abstractNum w:abstractNumId="123">
    <w:nsid w:val="34FD6B4F"/>
    <w:multiLevelType w:val="hybridMultilevel"/>
    <w:lvl w:ilvl="0">
      <w:lvlJc w:val="left"/>
      <w:lvlText w:val="%1."/>
      <w:numFmt w:val="decimal"/>
      <w:start w:val="9"/>
    </w:lvl>
  </w:abstractNum>
  <w:abstractNum w:abstractNumId="124">
    <w:nsid w:val="5915FF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jpe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281" Type="http://schemas.openxmlformats.org/officeDocument/2006/relationships/hyperlink" Target="https://www.sec.gov/Archives/edgar/data/1850119/000110465921085744/tm2120666d1_ex3-1.htm" TargetMode="External"/><Relationship Id="rId282" Type="http://schemas.openxmlformats.org/officeDocument/2006/relationships/hyperlink" Target="https://www.sec.gov/Archives/edgar/data/1850119/000155837023003962/ipsc-20221231xex3d2.htm" TargetMode="External"/><Relationship Id="rId283" Type="http://schemas.openxmlformats.org/officeDocument/2006/relationships/hyperlink" Target="https://www.sec.gov/Archives/edgar/data/1850119/000110465921080429/tm218551d10_ex4-1.htm" TargetMode="External"/><Relationship Id="rId284" Type="http://schemas.openxmlformats.org/officeDocument/2006/relationships/hyperlink" Target="https://www.sec.gov/Archives/edgar/data/1850119/000155837022003867/ipsc-20211231xex4d2.htm" TargetMode="External"/><Relationship Id="rId285" Type="http://schemas.openxmlformats.org/officeDocument/2006/relationships/hyperlink" Target="https://www.sec.gov/Archives/edgar/data/1850119/000110465921074278/tm218551d7_ex4-2.htm" TargetMode="External"/><Relationship Id="rId286" Type="http://schemas.openxmlformats.org/officeDocument/2006/relationships/hyperlink" Target="https://www.sec.gov/Archives/edgar/data/1850119/000110465921074278/tm218551d7_ex4-3.htm" TargetMode="External"/><Relationship Id="rId287" Type="http://schemas.openxmlformats.org/officeDocument/2006/relationships/hyperlink" Target="https://www.sec.gov/Archives/edgar/data/1850119/000110465921074278/tm218551d7_ex10-1.htm" TargetMode="External"/><Relationship Id="rId288" Type="http://schemas.openxmlformats.org/officeDocument/2006/relationships/hyperlink" Target="https://www.sec.gov/Archives/edgar/data/1850119/000110465921074278/tm218551d7_ex10-2.htm" TargetMode="External"/><Relationship Id="rId289" Type="http://schemas.openxmlformats.org/officeDocument/2006/relationships/hyperlink" Target="https://www.sec.gov/Archives/edgar/data/1850119/000110465921074278/tm218551d7_ex10-3.htm" TargetMode="External"/><Relationship Id="rId290" Type="http://schemas.openxmlformats.org/officeDocument/2006/relationships/hyperlink" Target="https://www.sec.gov/Archives/edgar/data/1850119/000110465921074278/tm218551d7_ex10-4.htm" TargetMode="External"/><Relationship Id="rId291" Type="http://schemas.openxmlformats.org/officeDocument/2006/relationships/hyperlink" Target="https://www.sec.gov/Archives/edgar/data/1850119/000110465921074278/tm218551d7_ex10-5.htm" TargetMode="External"/><Relationship Id="rId292" Type="http://schemas.openxmlformats.org/officeDocument/2006/relationships/hyperlink" Target="https://www.sec.gov/Archives/edgar/data/1850119/000110465921074278/tm218551d7_ex10-6.htm" TargetMode="External"/><Relationship Id="rId293" Type="http://schemas.openxmlformats.org/officeDocument/2006/relationships/hyperlink" Target="https://www.sec.gov/Archives/edgar/data/1850119/000110465921074278/tm218551d7_ex10-7.htm" TargetMode="External"/><Relationship Id="rId294" Type="http://schemas.openxmlformats.org/officeDocument/2006/relationships/hyperlink" Target="https://www.sec.gov/Archives/edgar/data/1850119/000110465921080429/tm218551d10_ex10-8.htm" TargetMode="External"/><Relationship Id="rId295" Type="http://schemas.openxmlformats.org/officeDocument/2006/relationships/hyperlink" Target="https://www.sec.gov/Archives/edgar/data/1850119/000110465921080429/tm218551d10_ex10-9.htm" TargetMode="External"/><Relationship Id="rId296" Type="http://schemas.openxmlformats.org/officeDocument/2006/relationships/hyperlink" Target="https://www.sec.gov/Archives/edgar/data/1850119/000110465921074278/tm218551d7_ex10-10.htm" TargetMode="External"/><Relationship Id="rId297" Type="http://schemas.openxmlformats.org/officeDocument/2006/relationships/hyperlink" Target="https://www.sec.gov/Archives/edgar/data/1850119/000110465921074278/tm218551d7_ex10-11.htm" TargetMode="External"/><Relationship Id="rId298" Type="http://schemas.openxmlformats.org/officeDocument/2006/relationships/hyperlink" Target="https://www.sec.gov/Archives/edgar/data/1850119/000110465921074278/tm218551d7_ex10-12.htm" TargetMode="External"/><Relationship Id="rId299" Type="http://schemas.openxmlformats.org/officeDocument/2006/relationships/hyperlink" Target="https://www.sec.gov/Archives/edgar/data/1850119/000110465921074278/tm218551d7_ex10-13.htm" TargetMode="External"/><Relationship Id="rId300" Type="http://schemas.openxmlformats.org/officeDocument/2006/relationships/hyperlink" Target="https://www.sec.gov/Archives/edgar/data/1850119/000110465921074278/tm218551d7_ex10-14.htm" TargetMode="External"/><Relationship Id="rId301" Type="http://schemas.openxmlformats.org/officeDocument/2006/relationships/hyperlink" Target="https://www.sec.gov/Archives/edgar/data/1850119/000110465921074278/tm218551d7_ex10-15.htm" TargetMode="External"/><Relationship Id="rId302" Type="http://schemas.openxmlformats.org/officeDocument/2006/relationships/hyperlink" Target="https://www.sec.gov/Archives/edgar/data/1850119/000110465921074278/tm218551d7_ex10-16.htm" TargetMode="External"/><Relationship Id="rId303" Type="http://schemas.openxmlformats.org/officeDocument/2006/relationships/hyperlink" Target="https://www.sec.gov/Archives/edgar/data/1850119/000110465921074278/tm218551d7_ex10-17.htm" TargetMode="External"/><Relationship Id="rId304" Type="http://schemas.openxmlformats.org/officeDocument/2006/relationships/hyperlink" Target="https://www.sec.gov/Archives/edgar/data/1850119/000110465921074278/tm218551d7_ex10-18.htm" TargetMode="External"/><Relationship Id="rId305" Type="http://schemas.openxmlformats.org/officeDocument/2006/relationships/hyperlink" Target="https://www.sec.gov/Archives/edgar/data/1850119/000110465921074278/tm218551d7_ex10-19.htm" TargetMode="External"/><Relationship Id="rId306" Type="http://schemas.openxmlformats.org/officeDocument/2006/relationships/hyperlink" Target="https://www.sec.gov/Archives/edgar/data/1850119/000155837022017287/ipsc-20220930xex10d1.htm" TargetMode="External"/><Relationship Id="rId307" Type="http://schemas.openxmlformats.org/officeDocument/2006/relationships/hyperlink" Target="https://www.sec.gov/Archives/edgar/data/1850119/000110465921074278/tm218551d7_ex10-20.htm" TargetMode="External"/><Relationship Id="rId308" Type="http://schemas.openxmlformats.org/officeDocument/2006/relationships/hyperlink" Target="https://www.sec.gov/Archives/edgar/data/1850119/000110465921074278/tm218551d7_ex10-21.htm" TargetMode="External"/><Relationship Id="rId309" Type="http://schemas.openxmlformats.org/officeDocument/2006/relationships/hyperlink" Target="https://www.sec.gov/Archives/edgar/data/1850119/000110465921074278/tm218551d7_ex10-22.htm" TargetMode="External"/><Relationship Id="rId310" Type="http://schemas.openxmlformats.org/officeDocument/2006/relationships/hyperlink" Target="https://www.sec.gov/Archives/edgar/data/1850119/000110465921074278/tm218551d7_ex10-23.htm" TargetMode="External"/><Relationship Id="rId311" Type="http://schemas.openxmlformats.org/officeDocument/2006/relationships/hyperlink" Target="https://www.sec.gov/Archives/edgar/data/1850119/000110465921074278/tm218551d7_ex10-24.htm" TargetMode="External"/><Relationship Id="rId312" Type="http://schemas.openxmlformats.org/officeDocument/2006/relationships/hyperlink" Target="https://www.sec.gov/Archives/edgar/data/1850119/000155837022003867/ipsc-20211231xex10d25.htm" TargetMode="External"/><Relationship Id="rId313" Type="http://schemas.openxmlformats.org/officeDocument/2006/relationships/hyperlink" Target="https://www.sec.gov/Archives/edgar/data/1850119/000110465921074278/tm218551d7_ex10-25.htm" TargetMode="External"/><Relationship Id="rId314" Type="http://schemas.openxmlformats.org/officeDocument/2006/relationships/hyperlink" Target="https://www.sec.gov/Archives/edgar/data/1850119/000110465921074278/tm218551d7_ex10-27.htm" TargetMode="External"/><Relationship Id="rId315" Type="http://schemas.openxmlformats.org/officeDocument/2006/relationships/hyperlink" Target="https://www.sec.gov/Archives/edgar/data/1850119/000110465921074278/tm218551d7_ex10-28.htm" TargetMode="External"/><Relationship Id="rId316" Type="http://schemas.openxmlformats.org/officeDocument/2006/relationships/hyperlink" Target="https://www.sec.gov/Archives/edgar/data/1850119/000110465921074278/tm218551d7_ex10-29.htm" TargetMode="External"/><Relationship Id="rId317" Type="http://schemas.openxmlformats.org/officeDocument/2006/relationships/hyperlink" Target="https://www.sec.gov/Archives/edgar/data/1850119/000155837022003867/ipsc-20211231xex10d31.htm" TargetMode="External"/><Relationship Id="rId318" Type="http://schemas.openxmlformats.org/officeDocument/2006/relationships/hyperlink" Target="https://www.sec.gov/Archives/edgar/data/1850119/000110465921080429/tm218551d10_ex10-34.htm" TargetMode="External"/><Relationship Id="rId319" Type="http://schemas.openxmlformats.org/officeDocument/2006/relationships/hyperlink" Target="https://www.sec.gov/Archives/edgar/data/1850119/000110465921080429/tm218551d10_ex10-35.htm" TargetMode="External"/><Relationship Id="rId320" Type="http://schemas.openxmlformats.org/officeDocument/2006/relationships/hyperlink" Target="https://www.sec.gov/Archives/edgar/data/1850119/000110465922076807/tm2219477d2_ex1-2.htm" TargetMode="External"/><Relationship Id="rId321" Type="http://schemas.openxmlformats.org/officeDocument/2006/relationships/hyperlink" Target="https://www.sec.gov/Archives/edgar/data/1850119/000155837023009262/ipsc-20230331xex10d1.htm" TargetMode="External"/><Relationship Id="rId322" Type="http://schemas.openxmlformats.org/officeDocument/2006/relationships/hyperlink" Target="https://www.sec.gov/Archives/edgar/data/1850119/000155837023018408/ipsc-20230930xex10d1.htm" TargetMode="External"/><Relationship Id="rId323" Type="http://schemas.openxmlformats.org/officeDocument/2006/relationships/hyperlink" Target="https://www.sec.gov/Archives/edgar/data/1850119/000155837023018408/ipsc-20230930xex10d2.htm" TargetMode="External"/><Relationship Id="rId324" Type="http://schemas.openxmlformats.org/officeDocument/2006/relationships/hyperlink" Target="https://www.sec.gov/Archives/edgar/data/1850119/000155837023018408/ipsc-20230930xex10d3.htm" TargetMode="External"/><Relationship Id="rId325" Type="http://schemas.openxmlformats.org/officeDocument/2006/relationships/hyperlink" Target="https://www.sec.gov/Archives/edgar/data/1850119/000155837022003867/ipsc-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2024-03-14T06:52:40Z</dcterms:created>
  <dcterms:modified xsi:type="dcterms:W3CDTF">2024-03-14T06:52:40Z</dcterms:modified>
</cp:coreProperties>
</file>