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Versant Venture Capital VI,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5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9"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540" w:type="dxa"/>
            <w:vAlign w:val="bottom"/>
            <w:gridSpan w:val="12"/>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3540" w:type="dxa"/>
            <w:vAlign w:val="bottom"/>
            <w:gridSpan w:val="12"/>
            <w:vMerge w:val="continue"/>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10"/>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4"/>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3"/>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3"/>
            <w:vMerge w:val="continue"/>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0000FF"/>
              </w:rPr>
              <w:t>08/09/2022</w:t>
            </w: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550,000</w:t>
            </w:r>
          </w:p>
        </w:tc>
        <w:tc>
          <w:tcPr>
            <w:tcW w:w="20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gridSpan w:val="9"/>
          </w:tcPr>
          <w:p>
            <w:pPr>
              <w:spacing w:after="0"/>
              <w:rPr>
                <w:sz w:val="20"/>
                <w:szCs w:val="20"/>
                <w:color w:val="auto"/>
              </w:rPr>
            </w:pPr>
            <w:r>
              <w:rPr>
                <w:rFonts w:ascii="Arial" w:cs="Arial" w:eastAsia="Arial" w:hAnsi="Arial"/>
                <w:sz w:val="17"/>
                <w:szCs w:val="17"/>
                <w:color w:val="0000FF"/>
              </w:rPr>
              <w:t xml:space="preserve">D   </w:t>
            </w:r>
            <w:r>
              <w:rPr>
                <w:rFonts w:ascii="Arial" w:cs="Arial" w:eastAsia="Arial" w:hAnsi="Arial"/>
                <w:sz w:val="17"/>
                <w:szCs w:val="17"/>
                <w:color w:val="000000"/>
              </w:rPr>
              <w:t>$</w:t>
            </w:r>
            <w:r>
              <w:rPr>
                <w:rFonts w:ascii="Arial" w:cs="Arial" w:eastAsia="Arial" w:hAnsi="Arial"/>
                <w:sz w:val="17"/>
                <w:szCs w:val="17"/>
                <w:color w:val="0000FF"/>
              </w:rPr>
              <w:t>13.0302</w:t>
            </w:r>
            <w:r>
              <w:rPr>
                <w:rFonts w:ascii="Arial" w:cs="Arial" w:eastAsia="Arial" w:hAnsi="Arial"/>
                <w:sz w:val="22"/>
                <w:szCs w:val="22"/>
                <w:color w:val="008000"/>
                <w:vertAlign w:val="superscript"/>
              </w:rPr>
              <w:t>(2)</w:t>
            </w:r>
            <w:r>
              <w:rPr>
                <w:rFonts w:ascii="Arial" w:cs="Arial" w:eastAsia="Arial" w:hAnsi="Arial"/>
                <w:sz w:val="17"/>
                <w:szCs w:val="17"/>
                <w:color w:val="0000FF"/>
              </w:rPr>
              <w:t xml:space="preserve">     11,816,814</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0000FF"/>
              </w:rPr>
              <w:t>08/09/2022</w:t>
            </w: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(4)</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364,800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11,452,014</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714,095</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gridSpan w:val="16"/>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2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6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Versant Venture Capital VI,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6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Versant Ventures VI GP,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-5282565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9"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9"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720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72096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Versant Ventures VI GP-GP,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ONE SANSOME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3630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Versant Vantage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3630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Versant Vantage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3630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2"/>
              </w:rPr>
            </w:pPr>
            <w:hyperlink r:id="rId20">
              <w:r>
                <w:rPr>
                  <w:rFonts w:ascii="Arial" w:cs="Arial" w:eastAsia="Arial" w:hAnsi="Arial"/>
                  <w:sz w:val="21"/>
                  <w:szCs w:val="21"/>
                  <w:color w:val="0000EE"/>
                  <w:w w:val="92"/>
                </w:rPr>
                <w:t>Versant Vantage II GP-GP,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3630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of these shares was effected pursuant to a Rule 10b5-1 trading plan adopted by Versant Venture Capital VI, L.P. ("Versant VI").</w:t>
      </w:r>
    </w:p>
    <w:p>
      <w:pPr>
        <w:spacing w:after="0" w:line="50" w:lineRule="exact"/>
        <w:rPr>
          <w:rFonts w:ascii="Arial" w:cs="Arial" w:eastAsia="Arial" w:hAnsi="Arial"/>
          <w:sz w:val="13"/>
          <w:szCs w:val="13"/>
          <w:color w:val="008000"/>
        </w:rPr>
      </w:pPr>
    </w:p>
    <w:p>
      <w:pPr>
        <w:ind w:left="20" w:right="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securities were sold in multiple transactions at prices ranging from $13.03 to $13.26,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Versant VI. Versant Ventures VI GP, L.P. ("Versant Ventures VI GP") is the general partner of Versant VI, and Versant Ventures VI GP-GP, LLC ("Versant Ventures VI GP-GP") is the general partner of Versant Ventures VI GP. Each of Versant Ventures VI GP and Versant Ventures VI GP-GP may be deemed to indirectly beneficially own the shares beneficially owned by Versant VI, but disclaim beneficial ownership except to the extent of their pecuniary interest therein.</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VI to its limited partners pursuant to a Rule 10b5-1 trading plan.</w:t>
      </w:r>
    </w:p>
    <w:p>
      <w:pPr>
        <w:spacing w:after="0" w:line="50" w:lineRule="exact"/>
        <w:rPr>
          <w:rFonts w:ascii="Arial" w:cs="Arial" w:eastAsia="Arial" w:hAnsi="Arial"/>
          <w:sz w:val="13"/>
          <w:szCs w:val="13"/>
          <w:color w:val="008000"/>
        </w:rPr>
      </w:pPr>
    </w:p>
    <w:p>
      <w:pPr>
        <w:ind w:left="20" w:right="260" w:firstLine="7"/>
        <w:spacing w:after="0" w:line="280"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reportable securities are owned by Versant Vantage II, L.P. ("Versant Vantage II''). Versant Vantage II GP, L.P. ("Versant Vantage II GP") is the general partner of Versant Vantage II, and Versant Vantage II GP-GP, LLC ("Versant Vantage II GP-GP") is the general partner of Versant Vantage II GP. Each of Versant Vantage II GP and Versant Vantage II GP-GP may be deemed to indirectly beneficially own the shares beneficially owned by Versant Vantage II, but disclaim beneficial ownership except to the extent of their pecuniary interest therein.</w:t>
      </w: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Versant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 L.P. By: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2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Partner By: Versant Ventures</w:t>
      </w:r>
      <w:r>
        <w:rPr>
          <w:sz w:val="20"/>
          <w:szCs w:val="20"/>
          <w:color w:val="auto"/>
        </w:rPr>
        <w:tab/>
      </w:r>
      <w:r>
        <w:rPr>
          <w:rFonts w:ascii="Arial" w:cs="Arial" w:eastAsia="Arial" w:hAnsi="Arial"/>
          <w:sz w:val="15"/>
          <w:szCs w:val="15"/>
          <w:color w:val="0000FF"/>
        </w:rPr>
        <w:t>08/11/2022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 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5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By: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8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3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By: /s/ Versant Ventures VI</w:t>
            </w:r>
          </w:p>
        </w:tc>
        <w:tc>
          <w:tcPr>
            <w:tcW w:w="920" w:type="dxa"/>
            <w:vAlign w:val="bottom"/>
            <w:gridSpan w:val="2"/>
          </w:tcPr>
          <w:p>
            <w:pPr>
              <w:jc w:val="right"/>
              <w:spacing w:after="0"/>
              <w:rPr>
                <w:sz w:val="20"/>
                <w:szCs w:val="20"/>
                <w:color w:val="auto"/>
              </w:rPr>
            </w:pPr>
            <w:r>
              <w:rPr>
                <w:rFonts w:ascii="Arial" w:cs="Arial" w:eastAsia="Arial" w:hAnsi="Arial"/>
                <w:sz w:val="17"/>
                <w:szCs w:val="17"/>
                <w:color w:val="0000FF"/>
              </w:rPr>
              <w:t>08/11/2022</w:t>
            </w:r>
          </w:p>
        </w:tc>
      </w:tr>
      <w:tr>
        <w:trPr>
          <w:trHeight w:val="20"/>
        </w:trPr>
        <w:tc>
          <w:tcPr>
            <w:tcW w:w="1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208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0000FF"/>
                <w:w w:val="89"/>
              </w:rPr>
              <w:t>GP, L.P. By: Versant Ventures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77" w:orient="portrait"/>
          <w:cols w:equalWidth="0" w:num="1">
            <w:col w:w="10920"/>
          </w:cols>
          <w:pgMar w:left="480" w:top="203" w:right="499" w:bottom="0" w:gutter="0" w:footer="0" w:header="0"/>
        </w:sectPr>
      </w:pPr>
    </w:p>
    <w:bookmarkStart w:id="2" w:name="page3"/>
    <w:bookmarkEnd w:id="2"/>
    <w:p>
      <w:pPr>
        <w:ind w:left="6540"/>
        <w:spacing w:after="0"/>
        <w:rPr>
          <w:sz w:val="20"/>
          <w:szCs w:val="20"/>
          <w:color w:val="auto"/>
        </w:rPr>
      </w:pPr>
      <w:r>
        <w:rPr>
          <w:rFonts w:ascii="Arial" w:cs="Arial" w:eastAsia="Arial" w:hAnsi="Arial"/>
          <w:sz w:val="17"/>
          <w:szCs w:val="17"/>
          <w:color w:val="0000FF"/>
        </w:rPr>
        <w:t>VI 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8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30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03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GP-GP, LLC By: 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3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Eisenberg Its: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449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/s/ Versant Vantage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56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Versant Vantage II GP-GP,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Max Eisenberg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6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3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8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82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30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3347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By: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9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30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0000FF"/>
        </w:rPr>
        <w:t>08/11/2022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08/11/2022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08/11/2022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08/11/2022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12" Type="http://schemas.openxmlformats.org/officeDocument/2006/relationships/hyperlink" Target="http://www.sec.gov/cgi-bin/browse-edgar?action=getcompany&amp;CIK=0001687880" TargetMode="External"/><Relationship Id="rId13" Type="http://schemas.openxmlformats.org/officeDocument/2006/relationships/hyperlink" Target="http://www.sec.gov/cgi-bin/browse-edgar?action=getcompany&amp;CIK=0001850119" TargetMode="External"/><Relationship Id="rId14" Type="http://schemas.openxmlformats.org/officeDocument/2006/relationships/hyperlink" Target="http://www.sec.gov/cgi-bin/browse-edgar?action=getcompany&amp;CIK=0001777654" TargetMode="External"/><Relationship Id="rId17" Type="http://schemas.openxmlformats.org/officeDocument/2006/relationships/hyperlink" Target="http://www.sec.gov/cgi-bin/browse-edgar?action=getcompany&amp;CIK=0001777652" TargetMode="External"/><Relationship Id="rId18" Type="http://schemas.openxmlformats.org/officeDocument/2006/relationships/hyperlink" Target="http://www.sec.gov/cgi-bin/browse-edgar?action=getcompany&amp;CIK=0001832235" TargetMode="External"/><Relationship Id="rId19" Type="http://schemas.openxmlformats.org/officeDocument/2006/relationships/hyperlink" Target="http://www.sec.gov/cgi-bin/browse-edgar?action=getcompany&amp;CIK=0001839790" TargetMode="External"/><Relationship Id="rId20" Type="http://schemas.openxmlformats.org/officeDocument/2006/relationships/hyperlink" Target="http://www.sec.gov/cgi-bin/browse-edgar?action=getcompany&amp;CIK=0001839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2022-08-12T04:11:34Z</dcterms:created>
  <dcterms:modified xsi:type="dcterms:W3CDTF">2022-08-12T04:11:34Z</dcterms:modified>
</cp:coreProperties>
</file>