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84-2040295</w:t>
            </w:r>
          </w:p>
        </w:tc>
      </w:tr>
      <w:tr>
        <w:trPr>
          <w:trHeight w:val="216"/>
        </w:trPr>
        <w:tc>
          <w:tcPr>
            <w:tcW w:w="57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(State or other jurisdiction of incorporation or</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organization)</w:t>
            </w:r>
          </w:p>
        </w:tc>
        <w:tc>
          <w:tcPr>
            <w:tcW w:w="5500" w:type="dxa"/>
            <w:vAlign w:val="bottom"/>
          </w:tcPr>
          <w:p>
            <w:pPr>
              <w:spacing w:after="0"/>
              <w:rPr>
                <w:sz w:val="20"/>
                <w:szCs w:val="20"/>
                <w:color w:val="auto"/>
              </w:rPr>
            </w:pPr>
          </w:p>
        </w:tc>
      </w:tr>
      <w:tr>
        <w:trPr>
          <w:trHeight w:val="414"/>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3675 Market Street</w:t>
            </w:r>
          </w:p>
        </w:tc>
        <w:tc>
          <w:tcPr>
            <w:tcW w:w="5500" w:type="dxa"/>
            <w:vAlign w:val="bottom"/>
          </w:tcPr>
          <w:p>
            <w:pPr>
              <w:spacing w:after="0"/>
              <w:rPr>
                <w:sz w:val="24"/>
                <w:szCs w:val="24"/>
                <w:color w:val="auto"/>
              </w:rPr>
            </w:pPr>
          </w:p>
        </w:tc>
      </w:tr>
      <w:tr>
        <w:trPr>
          <w:trHeight w:val="220"/>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Philadelphia, Pennsylvania</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19104</w:t>
            </w:r>
          </w:p>
        </w:tc>
      </w:tr>
      <w:tr>
        <w:trPr>
          <w:trHeight w:val="230"/>
        </w:trPr>
        <w:tc>
          <w:tcPr>
            <w:tcW w:w="57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14"/>
        </w:trPr>
        <w:tc>
          <w:tcPr>
            <w:tcW w:w="11240" w:type="dxa"/>
            <w:vAlign w:val="bottom"/>
            <w:gridSpan w:val="3"/>
          </w:tcPr>
          <w:p>
            <w:pPr>
              <w:ind w:left="336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216"/>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 be so registered</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28"/>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0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125730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A.(d) or (e), check the following box.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this form relates to the registration of a class of securities concurrently with a Regulation A offering, check the following box.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filed number to which this form relates: 333-256648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5" w:lineRule="exact"/>
        <w:rPr>
          <w:sz w:val="20"/>
          <w:szCs w:val="20"/>
          <w:color w:val="auto"/>
        </w:rPr>
      </w:pPr>
    </w:p>
    <w:p>
      <w:pPr>
        <w:spacing w:after="0" w:line="298" w:lineRule="auto"/>
        <w:rPr>
          <w:rFonts w:ascii="Arial" w:cs="Arial" w:eastAsia="Arial" w:hAnsi="Arial"/>
          <w:sz w:val="16"/>
          <w:szCs w:val="16"/>
          <w:color w:val="0000EE"/>
        </w:rPr>
      </w:pPr>
      <w:r>
        <w:rPr>
          <w:rFonts w:ascii="Arial" w:cs="Arial" w:eastAsia="Arial" w:hAnsi="Arial"/>
          <w:sz w:val="16"/>
          <w:szCs w:val="16"/>
          <w:color w:val="auto"/>
        </w:rPr>
        <w:t>A description of the common stock, par value $0.0001 per share, of Century Therapeutics, Inc. (the “</w:t>
      </w:r>
      <w:r>
        <w:rPr>
          <w:rFonts w:ascii="Arial" w:cs="Arial" w:eastAsia="Arial" w:hAnsi="Arial"/>
          <w:sz w:val="16"/>
          <w:szCs w:val="16"/>
          <w:b w:val="1"/>
          <w:bCs w:val="1"/>
          <w:color w:val="auto"/>
        </w:rPr>
        <w:t>Registrant</w:t>
      </w:r>
      <w:r>
        <w:rPr>
          <w:rFonts w:ascii="Arial" w:cs="Arial" w:eastAsia="Arial" w:hAnsi="Arial"/>
          <w:sz w:val="16"/>
          <w:szCs w:val="16"/>
          <w:color w:val="auto"/>
        </w:rPr>
        <w:t xml:space="preserve">”), is set forth under the heading </w:t>
      </w:r>
      <w:hyperlink r:id="rId14">
        <w:r>
          <w:rPr>
            <w:rFonts w:ascii="Arial" w:cs="Arial" w:eastAsia="Arial" w:hAnsi="Arial"/>
            <w:sz w:val="16"/>
            <w:szCs w:val="16"/>
            <w:color w:val="auto"/>
          </w:rPr>
          <w:t xml:space="preserve">“Description of capital stock” contained in the Registrant’s </w:t>
        </w:r>
        <w:r>
          <w:rPr>
            <w:rFonts w:ascii="Arial" w:cs="Arial" w:eastAsia="Arial" w:hAnsi="Arial"/>
            <w:sz w:val="16"/>
            <w:szCs w:val="16"/>
            <w:u w:val="single" w:color="auto"/>
            <w:color w:val="0000EE"/>
          </w:rPr>
          <w:t>Registration Statement on Form S-1 (File No. 333-256648) (the “</w:t>
        </w:r>
        <w:r>
          <w:rPr>
            <w:rFonts w:ascii="Arial" w:cs="Arial" w:eastAsia="Arial" w:hAnsi="Arial"/>
            <w:sz w:val="16"/>
            <w:szCs w:val="16"/>
            <w:b w:val="1"/>
            <w:bCs w:val="1"/>
            <w:u w:val="single" w:color="auto"/>
            <w:color w:val="0000EE"/>
          </w:rPr>
          <w:t>Registration Statement</w:t>
        </w:r>
        <w:r>
          <w:rPr>
            <w:rFonts w:ascii="Arial" w:cs="Arial" w:eastAsia="Arial" w:hAnsi="Arial"/>
            <w:sz w:val="16"/>
            <w:szCs w:val="16"/>
            <w:u w:val="single" w:color="auto"/>
            <w:color w:val="0000EE"/>
          </w:rPr>
          <w:t>”),</w:t>
        </w:r>
      </w:hyperlink>
      <w:r>
        <w:rPr>
          <w:rFonts w:ascii="Arial" w:cs="Arial" w:eastAsia="Arial" w:hAnsi="Arial"/>
          <w:sz w:val="16"/>
          <w:szCs w:val="16"/>
          <w:color w:val="auto"/>
        </w:rPr>
        <w:t xml:space="preserve"> </w:t>
      </w:r>
      <w:hyperlink r:id="rId14">
        <w:r>
          <w:rPr>
            <w:rFonts w:ascii="Arial" w:cs="Arial" w:eastAsia="Arial" w:hAnsi="Arial"/>
            <w:sz w:val="16"/>
            <w:szCs w:val="16"/>
            <w:u w:val="single" w:color="auto"/>
            <w:color w:val="0000EE"/>
          </w:rPr>
          <w:t>originally filed with the Securities and Exchange Commission on May 28, 2021</w:t>
        </w:r>
        <w:r>
          <w:rPr>
            <w:rFonts w:ascii="Arial" w:cs="Arial" w:eastAsia="Arial" w:hAnsi="Arial"/>
            <w:sz w:val="16"/>
            <w:szCs w:val="16"/>
            <w:color w:val="000000"/>
          </w:rPr>
          <w:t>, as subsequently amended, and is hereby incorporated herein by reference.</w:t>
        </w:r>
      </w:hyperlink>
      <w:r>
        <w:rPr>
          <w:rFonts w:ascii="Arial" w:cs="Arial" w:eastAsia="Arial" w:hAnsi="Arial"/>
          <w:sz w:val="16"/>
          <w:szCs w:val="16"/>
          <w:color w:val="0000EE"/>
        </w:rPr>
        <w:t xml:space="preserve"> </w:t>
      </w:r>
      <w:r>
        <w:rPr>
          <w:rFonts w:ascii="Arial" w:cs="Arial" w:eastAsia="Arial" w:hAnsi="Arial"/>
          <w:sz w:val="16"/>
          <w:szCs w:val="16"/>
          <w:color w:val="000000"/>
        </w:rPr>
        <w:t>The description of the common stock included in any prospectus that constitutes a part of the Registration Statement and is subsequently filed by the Registrant pursuant to Section 424(b) of the Securities Act of 1933, as amended, shall also be deemed to be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52"/>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ind w:left="20"/>
        <w:spacing w:after="0"/>
        <w:tabs>
          <w:tab w:leader="none" w:pos="5620" w:val="left"/>
          <w:tab w:leader="none" w:pos="6180" w:val="left"/>
        </w:tabs>
        <w:rPr>
          <w:sz w:val="20"/>
          <w:szCs w:val="20"/>
          <w:color w:val="auto"/>
        </w:rPr>
      </w:pPr>
      <w:r>
        <w:rPr>
          <w:rFonts w:ascii="Arial" w:cs="Arial" w:eastAsia="Arial" w:hAnsi="Arial"/>
          <w:sz w:val="18"/>
          <w:szCs w:val="18"/>
          <w:color w:val="auto"/>
        </w:rPr>
        <w:t>Date: June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Name: Osvaldo Flores, Ph.D.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s://www.sec.gov/Archives/edgar/data/1850119/000110465921074278/tm218551-6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2021-06-14T15:10:23Z</dcterms:created>
  <dcterms:modified xsi:type="dcterms:W3CDTF">2021-06-14T15:10:23Z</dcterms:modified>
</cp:coreProperties>
</file>