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July 2, 2021</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45" w:right="339" w:bottom="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No.)</w:t>
      </w:r>
    </w:p>
    <w:p>
      <w:pPr>
        <w:spacing w:after="0" w:line="438" w:lineRule="exact"/>
        <w:rPr>
          <w:sz w:val="24"/>
          <w:szCs w:val="24"/>
          <w:color w:val="auto"/>
        </w:rPr>
      </w:pPr>
    </w:p>
    <w:p>
      <w:pPr>
        <w:sectPr>
          <w:pgSz w:w="11900" w:h="16838" w:orient="portrait"/>
          <w:cols w:equalWidth="0" w:num="2">
            <w:col w:w="6480" w:space="720"/>
            <w:col w:w="4040"/>
          </w:cols>
          <w:pgMar w:left="320" w:top="445" w:right="3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Philadelphia, Pennsylvania 19104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(267) 817-5790</w:t>
      </w:r>
    </w:p>
    <w:p>
      <w:pPr>
        <w:sectPr>
          <w:pgSz w:w="11900" w:h="16838" w:orient="portrait"/>
          <w:cols w:equalWidth="0" w:num="1">
            <w:col w:w="11240"/>
          </w:cols>
          <w:pgMar w:left="320" w:top="445" w:right="339" w:bottom="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CENTURY THERAPEUTICS, INC. 2018 STOCK OPTION AND GRANT PLAN, AS AMENDED CENTURY THERAPEUTICS, INC. 2021 EQUITY INCENTIVE PLAN CENTURY THERAPEUTICS, INC. 2021 EMPLOYEE STOCK PURCHASE PLAN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Osvaldo Flores,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3675 Market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(267) 817-5790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Rachael M. Bushey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Jennifer Porter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Pepper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3000 Two Logan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(215) 981-4331</w:t>
      </w:r>
    </w:p>
    <w:p>
      <w:pPr>
        <w:spacing w:after="0" w:line="211" w:lineRule="exact"/>
        <w:rPr>
          <w:sz w:val="24"/>
          <w:szCs w:val="24"/>
          <w:color w:val="auto"/>
        </w:rPr>
      </w:pPr>
    </w:p>
    <w:p>
      <w:pPr>
        <w:jc w:val="both"/>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51" w:lineRule="exact"/>
        <w:rPr>
          <w:sz w:val="24"/>
          <w:szCs w:val="24"/>
          <w:color w:val="auto"/>
        </w:rPr>
      </w:pPr>
    </w:p>
    <w:p>
      <w:pPr>
        <w:ind w:left="60"/>
        <w:spacing w:after="0" w:line="207" w:lineRule="exact"/>
        <w:tabs>
          <w:tab w:leader="none" w:pos="2300" w:val="left"/>
          <w:tab w:leader="none" w:pos="4220" w:val="left"/>
          <w:tab w:leader="none" w:pos="6460" w:val="left"/>
          <w:tab w:leader="none" w:pos="89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ind w:left="60"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7"/>
          </w:tcPr>
          <w:p>
            <w:pPr>
              <w:ind w:left="390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24"/>
                <w:szCs w:val="2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Offering Price</w:t>
            </w:r>
          </w:p>
        </w:tc>
        <w:tc>
          <w:tcPr>
            <w:tcW w:w="6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53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Title of Each Class of Securities to</w:t>
            </w: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to be</w:t>
            </w:r>
          </w:p>
        </w:tc>
        <w:tc>
          <w:tcPr>
            <w:tcW w:w="14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Per</w:t>
            </w:r>
          </w:p>
        </w:tc>
        <w:tc>
          <w:tcPr>
            <w:tcW w:w="6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Registration</w:t>
            </w:r>
          </w:p>
        </w:tc>
      </w:tr>
      <w:tr>
        <w:trPr>
          <w:trHeight w:val="234"/>
        </w:trPr>
        <w:tc>
          <w:tcPr>
            <w:tcW w:w="5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be Registered</w:t>
            </w: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Registered (1)</w:t>
            </w:r>
          </w:p>
        </w:tc>
        <w:tc>
          <w:tcPr>
            <w:tcW w:w="14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Share</w:t>
            </w:r>
          </w:p>
        </w:tc>
        <w:tc>
          <w:tcPr>
            <w:tcW w:w="6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Fee</w:t>
            </w:r>
          </w:p>
        </w:tc>
      </w:tr>
      <w:tr>
        <w:trPr>
          <w:trHeight w:val="195"/>
        </w:trPr>
        <w:tc>
          <w:tcPr>
            <w:tcW w:w="5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Common stock, $0.0001 par value per share, reserved for issuance</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44"/>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pursuant to the 2021 Equity Incentive Plan</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5,481,735(2)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24.08(3)</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$ 132,000,178.80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14,401.22</w:t>
            </w:r>
          </w:p>
        </w:tc>
      </w:tr>
    </w:tbl>
    <w:p>
      <w:pPr>
        <w:sectPr>
          <w:pgSz w:w="11900" w:h="16838" w:orient="portrait"/>
          <w:cols w:equalWidth="0" w:num="1">
            <w:col w:w="11240"/>
          </w:cols>
          <w:pgMar w:left="320" w:top="445"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w w:val="97"/>
              </w:rPr>
              <w:t>Common stock, $0.0001 par value per share, reserved for issuance</w:t>
            </w:r>
          </w:p>
        </w:tc>
        <w:tc>
          <w:tcPr>
            <w:tcW w:w="1560" w:type="dxa"/>
            <w:vAlign w:val="bottom"/>
          </w:tcPr>
          <w:p>
            <w:pPr>
              <w:jc w:val="right"/>
              <w:spacing w:after="0"/>
              <w:rPr>
                <w:sz w:val="20"/>
                <w:szCs w:val="20"/>
                <w:color w:val="auto"/>
              </w:rPr>
            </w:pPr>
            <w:r>
              <w:rPr>
                <w:rFonts w:ascii="Arial" w:cs="Arial" w:eastAsia="Arial" w:hAnsi="Arial"/>
                <w:sz w:val="18"/>
                <w:szCs w:val="18"/>
                <w:color w:val="auto"/>
              </w:rPr>
              <w:t>158,976(4)</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3,179,520.00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346.89</w:t>
            </w:r>
          </w:p>
        </w:tc>
      </w:tr>
      <w:tr>
        <w:trPr>
          <w:trHeight w:val="237"/>
        </w:trPr>
        <w:tc>
          <w:tcPr>
            <w:tcW w:w="1500" w:type="dxa"/>
            <w:vAlign w:val="bottom"/>
          </w:tcPr>
          <w:p>
            <w:pPr>
              <w:spacing w:after="0"/>
              <w:rPr>
                <w:sz w:val="20"/>
                <w:szCs w:val="20"/>
                <w:color w:val="auto"/>
              </w:rPr>
            </w:pPr>
            <w:r>
              <w:rPr>
                <w:rFonts w:ascii="Arial" w:cs="Arial" w:eastAsia="Arial" w:hAnsi="Arial"/>
                <w:sz w:val="18"/>
                <w:szCs w:val="18"/>
                <w:color w:val="auto"/>
                <w:w w:val="89"/>
              </w:rPr>
              <w:t>pursuant to the 2021</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8"/>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Common stock, $0.0001 par value per share, reserved for issuance</w:t>
            </w: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4"/>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89"/>
              </w:rPr>
              <w:t>pursuant to the 2018</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 and Grant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5,359,292(6)</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20,847,645.88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2,274.48</w:t>
            </w:r>
          </w:p>
        </w:tc>
      </w:tr>
      <w:tr>
        <w:trPr>
          <w:trHeight w:val="202"/>
        </w:trPr>
        <w:tc>
          <w:tcPr>
            <w:tcW w:w="5280" w:type="dxa"/>
            <w:vAlign w:val="bottom"/>
            <w:gridSpan w:val="3"/>
          </w:tcPr>
          <w:p>
            <w:pPr>
              <w:spacing w:after="0" w:line="201" w:lineRule="exact"/>
              <w:rPr>
                <w:sz w:val="20"/>
                <w:szCs w:val="20"/>
                <w:color w:val="auto"/>
              </w:rPr>
            </w:pPr>
            <w:r>
              <w:rPr>
                <w:rFonts w:ascii="Arial" w:cs="Arial" w:eastAsia="Arial" w:hAnsi="Arial"/>
                <w:sz w:val="18"/>
                <w:szCs w:val="18"/>
                <w:color w:val="auto"/>
                <w:w w:val="97"/>
              </w:rPr>
              <w:t>Common stock, $0.0001 par value per share, reserved for issuance</w:t>
            </w: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4"/>
        </w:trPr>
        <w:tc>
          <w:tcPr>
            <w:tcW w:w="1500" w:type="dxa"/>
            <w:vAlign w:val="bottom"/>
          </w:tcPr>
          <w:p>
            <w:pPr>
              <w:spacing w:after="0"/>
              <w:rPr>
                <w:sz w:val="20"/>
                <w:szCs w:val="20"/>
                <w:color w:val="auto"/>
              </w:rPr>
            </w:pPr>
            <w:r>
              <w:rPr>
                <w:rFonts w:ascii="Arial" w:cs="Arial" w:eastAsia="Arial" w:hAnsi="Arial"/>
                <w:sz w:val="18"/>
                <w:szCs w:val="18"/>
                <w:color w:val="auto"/>
                <w:w w:val="89"/>
              </w:rPr>
              <w:t>pursuant to the 2021</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564,071(8)</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w w:val="97"/>
              </w:rPr>
              <w:t>13,582,829.68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1,481.89</w:t>
            </w:r>
          </w:p>
        </w:tc>
      </w:tr>
      <w:tr>
        <w:trPr>
          <w:trHeight w:val="229"/>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11,564,074</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169,610,174.36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18,504.47</w:t>
            </w:r>
          </w:p>
        </w:tc>
      </w:tr>
      <w:tr>
        <w:trPr>
          <w:trHeight w:val="297"/>
        </w:trPr>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96" w:lineRule="exact"/>
        <w:rPr>
          <w:sz w:val="20"/>
          <w:szCs w:val="20"/>
          <w:color w:val="auto"/>
        </w:rPr>
      </w:pPr>
    </w:p>
    <w:p>
      <w:pPr>
        <w:ind w:right="40" w:firstLine="8"/>
        <w:spacing w:after="0" w:line="275"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shares of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Century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which become issuable by reason of any future stock dividend, stock split, recapitalization or other similar transaction or to cover such additional shares as may 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pacing w:after="0" w:line="176" w:lineRule="exact"/>
        <w:rPr>
          <w:rFonts w:ascii="Arial" w:cs="Arial" w:eastAsia="Arial" w:hAnsi="Arial"/>
          <w:sz w:val="17"/>
          <w:szCs w:val="17"/>
          <w:color w:val="auto"/>
        </w:rPr>
      </w:pPr>
    </w:p>
    <w:p>
      <w:pPr>
        <w:ind w:right="140" w:firstLine="8"/>
        <w:spacing w:after="0" w:line="311"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5,481,735 shares of Common Stock authorized for issuance under the Century Therapeutics, Inc. 2021 Equity Incentive Plan (the “</w:t>
      </w:r>
      <w:r>
        <w:rPr>
          <w:rFonts w:ascii="Arial" w:cs="Arial" w:eastAsia="Arial" w:hAnsi="Arial"/>
          <w:sz w:val="16"/>
          <w:szCs w:val="16"/>
          <w:u w:val="single" w:color="auto"/>
          <w:color w:val="auto"/>
        </w:rPr>
        <w:t>2021</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Incentive Plan</w:t>
      </w:r>
      <w:r>
        <w:rPr>
          <w:rFonts w:ascii="Arial" w:cs="Arial" w:eastAsia="Arial" w:hAnsi="Arial"/>
          <w:sz w:val="16"/>
          <w:szCs w:val="16"/>
          <w:color w:val="auto"/>
        </w:rPr>
        <w:t>”) (which represents 5,640,711 shares of Common Stock initially available for grant under the 2021 Incentive Plan minus 158,976 shares of Common Stock reserved for issuance upon the exercise of previously granted stock options that remain outstanding under the 2021 Incentive Plan).</w:t>
      </w:r>
    </w:p>
    <w:p>
      <w:pPr>
        <w:spacing w:after="0" w:line="148" w:lineRule="exact"/>
        <w:rPr>
          <w:rFonts w:ascii="Arial" w:cs="Arial" w:eastAsia="Arial" w:hAnsi="Arial"/>
          <w:sz w:val="16"/>
          <w:szCs w:val="16"/>
          <w:color w:val="auto"/>
        </w:rPr>
      </w:pPr>
    </w:p>
    <w:p>
      <w:pPr>
        <w:ind w:right="40" w:firstLine="8"/>
        <w:spacing w:after="0" w:line="263"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purposes of computing the registration fee only. Pursuant to Rule 457(c) and (h) of the Securities Act, the Proposed Maximum Offering Price Per Share with respect to the 2021 Incentive Plan and the Century Therapeutics, Inc. 2021 Employee Stock Purchase Plan (the “</w:t>
      </w:r>
      <w:r>
        <w:rPr>
          <w:rFonts w:ascii="Arial" w:cs="Arial" w:eastAsia="Arial" w:hAnsi="Arial"/>
          <w:sz w:val="18"/>
          <w:szCs w:val="18"/>
          <w:u w:val="single" w:color="auto"/>
          <w:color w:val="auto"/>
        </w:rPr>
        <w:t>2021 ESPP</w:t>
      </w:r>
      <w:r>
        <w:rPr>
          <w:rFonts w:ascii="Arial" w:cs="Arial" w:eastAsia="Arial" w:hAnsi="Arial"/>
          <w:sz w:val="18"/>
          <w:szCs w:val="18"/>
          <w:color w:val="auto"/>
        </w:rPr>
        <w:t>”) is based upon the average of the high and low prices of the Common Stock on June 25, 2021.</w:t>
      </w:r>
    </w:p>
    <w:p>
      <w:pPr>
        <w:spacing w:after="0" w:line="183"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158,976 shares of Common Stock reserved for issuance upon the exercise of previously granted stock options that remain outstanding under the 2021 Incentive Plan.</w:t>
      </w:r>
    </w:p>
    <w:p>
      <w:pPr>
        <w:spacing w:after="0" w:line="170" w:lineRule="exact"/>
        <w:rPr>
          <w:rFonts w:ascii="Arial" w:cs="Arial" w:eastAsia="Arial" w:hAnsi="Arial"/>
          <w:sz w:val="18"/>
          <w:szCs w:val="18"/>
          <w:color w:val="auto"/>
        </w:rPr>
      </w:pPr>
    </w:p>
    <w:p>
      <w:pPr>
        <w:ind w:right="100" w:firstLine="8"/>
        <w:spacing w:after="0" w:line="342"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purposes of computing the registration fee only. Pursuant to Rule 457(h) of the Securities Act, the Proposed Maximum Offering Price Per Share is based upon the weighted average exercise price of previously granted stock options that remain outstanding under the 2021 Incentive Plan.</w:t>
      </w:r>
    </w:p>
    <w:p>
      <w:pPr>
        <w:spacing w:after="0" w:line="123" w:lineRule="exact"/>
        <w:rPr>
          <w:rFonts w:ascii="Arial" w:cs="Arial" w:eastAsia="Arial" w:hAnsi="Arial"/>
          <w:sz w:val="16"/>
          <w:szCs w:val="16"/>
          <w:color w:val="auto"/>
        </w:rPr>
      </w:pPr>
    </w:p>
    <w:p>
      <w:pPr>
        <w:ind w:right="60" w:firstLine="8"/>
        <w:spacing w:after="0" w:line="275"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5,359,319 shares of Common Stock reserved for issuance upon the exercise of previously granted stock options that remain outstanding under the Century Therapeutics, Inc. 2018 Stock Option and Grant Plan, as amended (the “</w:t>
      </w:r>
      <w:r>
        <w:rPr>
          <w:rFonts w:ascii="Arial" w:cs="Arial" w:eastAsia="Arial" w:hAnsi="Arial"/>
          <w:sz w:val="17"/>
          <w:szCs w:val="17"/>
          <w:u w:val="single" w:color="auto"/>
          <w:color w:val="auto"/>
        </w:rPr>
        <w:t>2018 Plan</w:t>
      </w:r>
      <w:r>
        <w:rPr>
          <w:rFonts w:ascii="Arial" w:cs="Arial" w:eastAsia="Arial" w:hAnsi="Arial"/>
          <w:sz w:val="17"/>
          <w:szCs w:val="17"/>
          <w:color w:val="auto"/>
        </w:rPr>
        <w:t>”). No further grants will be made under the 2018 Plan. Any such shares of common stock underlying awards that that are forfeited, canceled, reacquired by the company prior to vesting, satisfied in cash or otherwise terminated, and shares underlying awards that are withheld in settlement of a tax withholding obligation associated with an award or in satisfaction of the exercise price of an award will be available for future grant and issuance under the 2021 Plan.</w:t>
      </w:r>
    </w:p>
    <w:p>
      <w:pPr>
        <w:spacing w:after="0" w:line="176" w:lineRule="exact"/>
        <w:rPr>
          <w:rFonts w:ascii="Arial" w:cs="Arial" w:eastAsia="Arial" w:hAnsi="Arial"/>
          <w:sz w:val="17"/>
          <w:szCs w:val="17"/>
          <w:color w:val="auto"/>
        </w:rPr>
      </w:pPr>
    </w:p>
    <w:p>
      <w:pPr>
        <w:ind w:right="100" w:firstLine="8"/>
        <w:spacing w:after="0" w:line="308" w:lineRule="auto"/>
        <w:tabs>
          <w:tab w:leader="none" w:pos="255" w:val="left"/>
        </w:tabs>
        <w:numPr>
          <w:ilvl w:val="0"/>
          <w:numId w:val="1"/>
        </w:numPr>
        <w:rPr>
          <w:rFonts w:ascii="Arial" w:cs="Arial" w:eastAsia="Arial" w:hAnsi="Arial"/>
          <w:sz w:val="17"/>
          <w:szCs w:val="17"/>
          <w:color w:val="auto"/>
        </w:rPr>
      </w:pPr>
      <w:r>
        <w:rPr>
          <w:rFonts w:ascii="Arial" w:cs="Arial" w:eastAsia="Arial" w:hAnsi="Arial"/>
          <w:sz w:val="17"/>
          <w:szCs w:val="17"/>
          <w:color w:val="auto"/>
        </w:rPr>
        <w:t>For purposes of computing the registration fee only. Pursuant to Rule 457(h) of the Securities Act, the Proposed Maximum Offering Price Per Share is based upon the weighted average exercise price of previously granted stock options that remain outstanding under the 2018 Plan.</w:t>
      </w:r>
    </w:p>
    <w:p>
      <w:pPr>
        <w:spacing w:after="0" w:line="159" w:lineRule="exact"/>
        <w:rPr>
          <w:rFonts w:ascii="Arial" w:cs="Arial" w:eastAsia="Arial" w:hAnsi="Arial"/>
          <w:sz w:val="17"/>
          <w:szCs w:val="17"/>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564,071 shares of Common Stock initially authorized for issuance under the 2021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2018 Plan, 2021 Incentive Plan and 2021 ESPP as required by Rule 428(b)(1) under the Securities Act.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which have been filed by the Company with the United States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pursuant to the Securities Act with respect to item (a) below and the Exchange Act, with respect to item (b) below, are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reference in, and shall be deemed to be a part of, this Registration Statement:</w:t>
      </w:r>
    </w:p>
    <w:p>
      <w:pPr>
        <w:spacing w:after="0" w:line="211" w:lineRule="exact"/>
        <w:rPr>
          <w:sz w:val="20"/>
          <w:szCs w:val="20"/>
          <w:color w:val="auto"/>
        </w:rPr>
      </w:pPr>
    </w:p>
    <w:p>
      <w:pPr>
        <w:ind w:left="660" w:right="280" w:firstLine="644"/>
        <w:spacing w:after="0" w:line="286" w:lineRule="auto"/>
        <w:tabs>
          <w:tab w:leader="none" w:pos="2272"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Company’s prospectus filed with the Commission on June 21, 2021, including all amendments and exhibits thereto, pursuant to </w:t>
      </w:r>
      <w:hyperlink r:id="rId18">
        <w:r>
          <w:rPr>
            <w:rFonts w:ascii="Arial" w:cs="Arial" w:eastAsia="Arial" w:hAnsi="Arial"/>
            <w:sz w:val="17"/>
            <w:szCs w:val="17"/>
            <w:u w:val="single" w:color="auto"/>
            <w:color w:val="0000EE"/>
          </w:rPr>
          <w:t>Rule 424(b)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under the Securities Act, relating to the Registration Statement on Form S-1 (File No. 333-256648) which contains the Company’s audited financial statements for the latest fiscal year for which such statements have been filed;</w:t>
      </w:r>
    </w:p>
    <w:p>
      <w:pPr>
        <w:spacing w:after="0" w:line="165" w:lineRule="exact"/>
        <w:rPr>
          <w:rFonts w:ascii="Arial" w:cs="Arial" w:eastAsia="Arial" w:hAnsi="Arial"/>
          <w:sz w:val="17"/>
          <w:szCs w:val="17"/>
          <w:color w:val="auto"/>
        </w:rPr>
      </w:pPr>
    </w:p>
    <w:p>
      <w:pPr>
        <w:ind w:left="660" w:right="60" w:firstLine="644"/>
        <w:spacing w:after="0" w:line="263" w:lineRule="auto"/>
        <w:tabs>
          <w:tab w:leader="none" w:pos="2237" w:val="left"/>
        </w:tabs>
        <w:numPr>
          <w:ilvl w:val="0"/>
          <w:numId w:val="2"/>
        </w:numPr>
        <w:rPr>
          <w:rFonts w:ascii="Arial" w:cs="Arial" w:eastAsia="Arial" w:hAnsi="Arial"/>
          <w:sz w:val="18"/>
          <w:szCs w:val="18"/>
          <w:color w:val="0000EE"/>
        </w:rPr>
      </w:pPr>
      <w:hyperlink r:id="rId19">
        <w:r>
          <w:rPr>
            <w:rFonts w:ascii="Arial" w:cs="Arial" w:eastAsia="Arial" w:hAnsi="Arial"/>
            <w:sz w:val="18"/>
            <w:szCs w:val="18"/>
            <w:color w:val="auto"/>
          </w:rPr>
          <w:t xml:space="preserve">the description of the Common Stock contained in the Company’s Registration Statement on </w:t>
        </w:r>
        <w:r>
          <w:rPr>
            <w:rFonts w:ascii="Arial" w:cs="Arial" w:eastAsia="Arial" w:hAnsi="Arial"/>
            <w:sz w:val="18"/>
            <w:szCs w:val="18"/>
            <w:u w:val="single" w:color="auto"/>
            <w:color w:val="0000EE"/>
          </w:rPr>
          <w:t>Form 8-A filed with the</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Commission on June 14, 2021 (File No. 001-40498)</w:t>
        </w:r>
        <w:r>
          <w:rPr>
            <w:rFonts w:ascii="Arial" w:cs="Arial" w:eastAsia="Arial" w:hAnsi="Arial"/>
            <w:sz w:val="18"/>
            <w:szCs w:val="18"/>
            <w:color w:val="000000"/>
          </w:rPr>
          <w:t xml:space="preserve">, together with any amendment thereto filed with the Commission for the purpose of </w:t>
        </w:r>
      </w:hyperlink>
      <w:r>
        <w:rPr>
          <w:rFonts w:ascii="Arial" w:cs="Arial" w:eastAsia="Arial" w:hAnsi="Arial"/>
          <w:sz w:val="18"/>
          <w:szCs w:val="18"/>
          <w:color w:val="0000EE"/>
        </w:rPr>
        <w:t xml:space="preserve">updating </w:t>
      </w:r>
      <w:r>
        <w:rPr>
          <w:rFonts w:ascii="Arial" w:cs="Arial" w:eastAsia="Arial" w:hAnsi="Arial"/>
          <w:sz w:val="18"/>
          <w:szCs w:val="18"/>
          <w:color w:val="000000"/>
        </w:rPr>
        <w:t>such description; and</w:t>
      </w:r>
    </w:p>
    <w:p>
      <w:pPr>
        <w:spacing w:after="0" w:line="183" w:lineRule="exact"/>
        <w:rPr>
          <w:rFonts w:ascii="Arial" w:cs="Arial" w:eastAsia="Arial" w:hAnsi="Arial"/>
          <w:sz w:val="18"/>
          <w:szCs w:val="18"/>
          <w:color w:val="0000EE"/>
        </w:rPr>
      </w:pPr>
    </w:p>
    <w:p>
      <w:pPr>
        <w:ind w:left="2260" w:hanging="956"/>
        <w:spacing w:after="0"/>
        <w:tabs>
          <w:tab w:leader="none" w:pos="2260" w:val="left"/>
        </w:tabs>
        <w:numPr>
          <w:ilvl w:val="0"/>
          <w:numId w:val="2"/>
        </w:numPr>
        <w:rPr>
          <w:rFonts w:ascii="Arial" w:cs="Arial" w:eastAsia="Arial" w:hAnsi="Arial"/>
          <w:sz w:val="18"/>
          <w:szCs w:val="18"/>
          <w:color w:val="0000EE"/>
        </w:rPr>
      </w:pPr>
      <w:hyperlink r:id="rId20">
        <w:r>
          <w:rPr>
            <w:rFonts w:ascii="Arial" w:cs="Arial" w:eastAsia="Arial" w:hAnsi="Arial"/>
            <w:sz w:val="18"/>
            <w:szCs w:val="18"/>
            <w:u w:val="single" w:color="auto"/>
            <w:color w:val="0000EE"/>
          </w:rPr>
          <w:t>the Registrant’s Current Report on Form 8-K filed with the Commission on June 25, 2021</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auto"/>
        </w:rPr>
      </w:pPr>
    </w:p>
    <w:p>
      <w:pPr>
        <w:ind w:right="120" w:firstLine="648"/>
        <w:spacing w:after="0" w:line="257" w:lineRule="auto"/>
        <w:rPr>
          <w:sz w:val="20"/>
          <w:szCs w:val="20"/>
          <w:color w:val="auto"/>
        </w:rPr>
      </w:pPr>
      <w:r>
        <w:rPr>
          <w:rFonts w:ascii="Arial" w:cs="Arial" w:eastAsia="Arial" w:hAnsi="Arial"/>
          <w:sz w:val="18"/>
          <w:szCs w:val="18"/>
          <w:color w:val="auto"/>
        </w:rPr>
        <w:t>All reports and other documents filed by the Company with the Commission pursuant to Sections 13(a), 13(c), 14 and 15(d) of the Exchange Act (other than information furnished under Item 2.02 or 7.01 of Form 8-K and exhibits furnished on such form that relate to such items unless such form expressly provides to the contrary)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w:t>
      </w:r>
    </w:p>
    <w:p>
      <w:pPr>
        <w:spacing w:after="0" w:line="188" w:lineRule="exact"/>
        <w:rPr>
          <w:rFonts w:ascii="Arial" w:cs="Arial" w:eastAsia="Arial" w:hAnsi="Arial"/>
          <w:sz w:val="18"/>
          <w:szCs w:val="18"/>
          <w:color w:val="auto"/>
        </w:rPr>
      </w:pPr>
    </w:p>
    <w:p>
      <w:pPr>
        <w:ind w:firstLine="648"/>
        <w:spacing w:after="0" w:line="257" w:lineRule="auto"/>
        <w:rPr>
          <w:sz w:val="20"/>
          <w:szCs w:val="20"/>
          <w:color w:val="auto"/>
        </w:rPr>
      </w:pPr>
      <w:r>
        <w:rPr>
          <w:rFonts w:ascii="Arial" w:cs="Arial" w:eastAsia="Arial" w:hAnsi="Arial"/>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184"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rFonts w:ascii="Arial" w:cs="Arial" w:eastAsia="Arial" w:hAnsi="Arial"/>
          <w:sz w:val="18"/>
          <w:szCs w:val="18"/>
          <w:color w:val="auto"/>
        </w:rPr>
      </w:pPr>
    </w:p>
    <w:p>
      <w:pPr>
        <w:ind w:firstLine="648"/>
        <w:spacing w:after="0" w:line="257" w:lineRule="auto"/>
        <w:rPr>
          <w:sz w:val="20"/>
          <w:szCs w:val="20"/>
          <w:color w:val="auto"/>
        </w:rPr>
      </w:pPr>
      <w:r>
        <w:rPr>
          <w:rFonts w:ascii="Arial" w:cs="Arial" w:eastAsia="Arial" w:hAnsi="Arial"/>
          <w:sz w:val="18"/>
          <w:szCs w:val="18"/>
          <w:color w:val="auto"/>
        </w:rPr>
        <w:t>As permitted by Section 102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 the Company’s second amended and restated certificate of incorporation and amended and restated bylaws limit or eliminate the personal liability of the Company’s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the Company or its stockholders for monetary damages for breach of fiduciary duty as a director, except for liability for:</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Company or its stockholders;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The Company’s second amended and restated certificate of incorporation authorizes the Company to indemnify its officers, directors and other agents to the fullest extent permitted under Delaware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Section 145 of the DGCL, the Company’s amended and restated bylaws provide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may indemnify its directors, officers, and employees to the fullest extent permitted by the DGCL, subject to limited exceptions;</w:t>
      </w:r>
    </w:p>
    <w:p>
      <w:pPr>
        <w:spacing w:after="0" w:line="23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advance expenses to its directors, officers, and employees in connection with a legal proceeding to the fullest extent permitted by the DGCL, subject to limited exceptions;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rights provided in the Company’s amended and restated bylaws are not exclusive.</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Company’s second amended and restated certificate of incorporation and its amended and restated bylaws provide for the indemnification provisions described above and elsewhere herein. The Company intends to enter into and continue to enter into, separate indemnification agreements with the Company’s directors and officers that may be broader than the specific indemnification provisions contained in the DGCL. These indemnification agreements generally require the Company, among other things, to indemnify its officers and directors against certain liabilities that may arise by reason of their status or service as directors or officers, other than liabilities arising from willful misconduct. These indemnification agreements also generally require the Company to advance any expenses incurred by the directors or officers as a result of any proceeding against them as to which they could be indemnified. These indemnification provisions and the indemnification agreements may be sufficiently broad to permit indemnification of the Company’s officers and directors for liabilities, including reimbursement of expenses incurred, arising under the Securities Act.</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has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4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6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9"/>
          </w:tcPr>
          <w:p>
            <w:pPr>
              <w:ind w:left="408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7"/>
              </w:rPr>
            </w:pPr>
            <w:hyperlink r:id="rId2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40" w:type="dxa"/>
            <w:vAlign w:val="bottom"/>
            <w:tcBorders>
              <w:top w:val="single" w:sz="8" w:color="auto"/>
              <w:bottom w:val="single" w:sz="8" w:color="0000EE"/>
            </w:tcBorders>
            <w:gridSpan w:val="7"/>
          </w:tcPr>
          <w:p>
            <w:pPr>
              <w:spacing w:after="0" w:line="169"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Second Amended and Restated Certificate of Incorporation of Century Therapeutics, Inc. (incorporated herein by reference to Exhibit</w:t>
              </w:r>
            </w:hyperlink>
          </w:p>
        </w:tc>
        <w:tc>
          <w:tcPr>
            <w:tcW w:w="240" w:type="dxa"/>
            <w:vAlign w:val="bottom"/>
            <w:tcBorders>
              <w:top w:val="single" w:sz="8" w:color="auto"/>
            </w:tcBorders>
            <w:gridSpan w:val="2"/>
          </w:tcPr>
          <w:p>
            <w:pPr>
              <w:spacing w:after="0"/>
              <w:rPr>
                <w:sz w:val="14"/>
                <w:szCs w:val="1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 No. 001-40498) filed on June 25, 2021)</w:t>
              </w:r>
            </w:hyperlink>
          </w:p>
        </w:tc>
        <w:tc>
          <w:tcPr>
            <w:tcW w:w="2940" w:type="dxa"/>
            <w:vAlign w:val="bottom"/>
            <w:gridSpan w:val="6"/>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Amended and Restated Bylaws of Century Therapeutics, Inc. (incorporated herein by reference to Exhibit 3.2 to the Company’s Current</w:t>
              </w:r>
            </w:hyperlink>
          </w:p>
        </w:tc>
        <w:tc>
          <w:tcPr>
            <w:tcW w:w="8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Report on Form 8-K (File No. 001-40498) filed on June 25, 2021)</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60" w:type="dxa"/>
            <w:vAlign w:val="bottom"/>
            <w:tcBorders>
              <w:bottom w:val="single" w:sz="8" w:color="0000EE"/>
            </w:tcBorders>
            <w:gridSpan w:val="6"/>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 of Certificate of Common Stock (incorporated herein by reference to Exhibit 4.1 to the Company’s Registration Statement on</w:t>
              </w:r>
            </w:hyperlink>
          </w:p>
        </w:tc>
        <w:tc>
          <w:tcPr>
            <w:tcW w:w="42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Form S-1/A (File No. 333-256648) filed on June 14, 2021)</w:t>
              </w:r>
            </w:hyperlink>
          </w:p>
        </w:tc>
        <w:tc>
          <w:tcPr>
            <w:tcW w:w="5600" w:type="dxa"/>
            <w:vAlign w:val="bottom"/>
            <w:gridSpan w:val="8"/>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Opinion of Troutman Pepper Hamilton Sanders LLP as to the legality of the securities being registered</w:t>
              </w:r>
            </w:hyperlink>
          </w:p>
        </w:tc>
        <w:tc>
          <w:tcPr>
            <w:tcW w:w="2480" w:type="dxa"/>
            <w:vAlign w:val="bottom"/>
            <w:gridSpan w:val="5"/>
          </w:tcPr>
          <w:p>
            <w:pPr>
              <w:spacing w:after="0"/>
              <w:rPr>
                <w:sz w:val="24"/>
                <w:szCs w:val="24"/>
                <w:color w:val="auto"/>
              </w:rPr>
            </w:pPr>
          </w:p>
        </w:tc>
      </w:tr>
      <w:tr>
        <w:trPr>
          <w:trHeight w:val="412"/>
        </w:trPr>
        <w:tc>
          <w:tcPr>
            <w:tcW w:w="1140" w:type="dxa"/>
            <w:vAlign w:val="bottom"/>
            <w:gridSpan w:val="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Consent of Ernst &amp; Young LLP, independent registered public accounting firm for Century Therapeutics, Inc.</w:t>
              </w:r>
            </w:hyperlink>
          </w:p>
        </w:tc>
      </w:tr>
      <w:tr>
        <w:trPr>
          <w:trHeight w:val="668"/>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5"/>
          </w:tcPr>
          <w:p>
            <w:pPr>
              <w:spacing w:after="0"/>
              <w:rPr>
                <w:sz w:val="20"/>
                <w:szCs w:val="20"/>
                <w:color w:val="auto"/>
              </w:rPr>
            </w:pPr>
            <w:r>
              <w:rPr>
                <w:rFonts w:ascii="Arial" w:cs="Arial" w:eastAsia="Arial" w:hAnsi="Arial"/>
                <w:sz w:val="18"/>
                <w:szCs w:val="18"/>
                <w:color w:val="auto"/>
              </w:rPr>
              <w:t>Exhibit</w:t>
            </w:r>
          </w:p>
        </w:tc>
        <w:tc>
          <w:tcPr>
            <w:tcW w:w="9880" w:type="dxa"/>
            <w:vAlign w:val="bottom"/>
            <w:gridSpan w:val="24"/>
            <w:vMerge w:val="restart"/>
          </w:tcPr>
          <w:p>
            <w:pPr>
              <w:ind w:left="408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30"/>
        </w:trPr>
        <w:tc>
          <w:tcPr>
            <w:tcW w:w="1360" w:type="dxa"/>
            <w:vAlign w:val="bottom"/>
            <w:gridSpan w:val="5"/>
          </w:tcPr>
          <w:p>
            <w:pPr>
              <w:spacing w:after="0"/>
              <w:rPr>
                <w:sz w:val="20"/>
                <w:szCs w:val="20"/>
                <w:color w:val="auto"/>
              </w:rPr>
            </w:pPr>
            <w:r>
              <w:rPr>
                <w:rFonts w:ascii="Arial" w:cs="Arial" w:eastAsia="Arial" w:hAnsi="Arial"/>
                <w:sz w:val="18"/>
                <w:szCs w:val="18"/>
                <w:color w:val="auto"/>
              </w:rPr>
              <w:t>Number</w:t>
            </w:r>
          </w:p>
        </w:tc>
        <w:tc>
          <w:tcPr>
            <w:tcW w:w="9880" w:type="dxa"/>
            <w:vAlign w:val="bottom"/>
            <w:gridSpan w:val="2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Consent of Troutman Pepper Hamilton Sanders LLP (contained in Exhibit 5.1)</w:t>
              </w:r>
            </w:hyperlink>
          </w:p>
        </w:tc>
        <w:tc>
          <w:tcPr>
            <w:tcW w:w="4200" w:type="dxa"/>
            <w:vAlign w:val="bottom"/>
            <w:tcBorders>
              <w:top w:val="single" w:sz="8" w:color="auto"/>
            </w:tcBorders>
            <w:gridSpan w:val="22"/>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Powers of Attorney (included on the signature page of the Registration Statement)</w:t>
              </w:r>
            </w:hyperlink>
          </w:p>
        </w:tc>
        <w:tc>
          <w:tcPr>
            <w:tcW w:w="39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2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6"/>
              </w:rPr>
            </w:pPr>
            <w:hyperlink r:id="rId25">
              <w:r>
                <w:rPr>
                  <w:rFonts w:ascii="Arial" w:cs="Arial" w:eastAsia="Arial" w:hAnsi="Arial"/>
                  <w:sz w:val="18"/>
                  <w:szCs w:val="18"/>
                  <w:color w:val="0000EE"/>
                  <w:w w:val="96"/>
                </w:rPr>
                <w:t>Century Therapeutics, Inc. 2018 Stock Option and Grant Plan (incorporated herein by reference to Exhibit 10.2 to the Company’s</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Registration Statement on Form S-1 (File No. 333-256648) filed on May 28, 2021)</w:t>
              </w:r>
            </w:hyperlink>
          </w:p>
        </w:tc>
        <w:tc>
          <w:tcPr>
            <w:tcW w:w="3340" w:type="dxa"/>
            <w:vAlign w:val="bottom"/>
            <w:tcBorders>
              <w:top w:val="single" w:sz="8" w:color="0000EE"/>
            </w:tcBorders>
            <w:gridSpan w:val="8"/>
          </w:tcPr>
          <w:p>
            <w:pPr>
              <w:spacing w:after="0"/>
              <w:rPr>
                <w:sz w:val="17"/>
                <w:szCs w:val="17"/>
                <w:color w:val="auto"/>
              </w:rPr>
            </w:pPr>
          </w:p>
        </w:tc>
        <w:tc>
          <w:tcPr>
            <w:tcW w:w="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26">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Amendment to the Century Therapeutics, Inc. 2018 Stock Option and Grant Plan (incorporated herein by reference to Exhibit 10.3 to</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the Company’s Registration Statement on Form S-1 (File No. 333-256648) filed on May 28, 2021)</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27">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Second Amendment to the Century Therapeutics, Inc. 2018 Stock Option and Grant Plan (incorporated herein by reference to Exhibit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10.</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to the Company’s Registration Statement on Form S-1 (File No. 333-256648) filed on May 28, 2021)</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28">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4"/>
              </w:rPr>
            </w:pPr>
            <w:hyperlink r:id="rId28">
              <w:r>
                <w:rPr>
                  <w:rFonts w:ascii="Arial" w:cs="Arial" w:eastAsia="Arial" w:hAnsi="Arial"/>
                  <w:sz w:val="18"/>
                  <w:szCs w:val="18"/>
                  <w:color w:val="0000EE"/>
                  <w:w w:val="94"/>
                </w:rPr>
                <w:t>Third Amendment to the Century Therapeutics, Inc. 2018 Stock Option and Grant Plan (incorporated herein by reference to Exhibit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to the Company’s Registration Statement on Form S-1 (File No. 333-256648) filed on May 28, 2021)</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29">
              <w:r>
                <w:rPr>
                  <w:rFonts w:ascii="Arial" w:cs="Arial" w:eastAsia="Arial" w:hAnsi="Arial"/>
                  <w:sz w:val="18"/>
                  <w:szCs w:val="18"/>
                  <w:color w:val="0000EE"/>
                </w:rPr>
                <w:t>99.</w:t>
              </w:r>
              <w:r>
                <w:rPr>
                  <w:rFonts w:ascii="Arial" w:cs="Arial" w:eastAsia="Arial" w:hAnsi="Arial"/>
                  <w:sz w:val="18"/>
                  <w:szCs w:val="18"/>
                  <w:u w:val="single" w:color="auto"/>
                  <w:color w:val="0000EE"/>
                </w:rPr>
                <w:t>5</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Fourth Amendment to the Century Therapeutics, Inc. 2018 Stock Option and Grant Plan (incorporated herein by reference to Exhibit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10.</w:t>
              </w:r>
              <w:r>
                <w:rPr>
                  <w:rFonts w:ascii="Arial" w:cs="Arial" w:eastAsia="Arial" w:hAnsi="Arial"/>
                  <w:sz w:val="18"/>
                  <w:szCs w:val="18"/>
                  <w:u w:val="single" w:color="auto"/>
                  <w:color w:val="0000EE"/>
                </w:rPr>
                <w:t>6</w:t>
              </w:r>
              <w:r>
                <w:rPr>
                  <w:rFonts w:ascii="Arial" w:cs="Arial" w:eastAsia="Arial" w:hAnsi="Arial"/>
                  <w:sz w:val="18"/>
                  <w:szCs w:val="18"/>
                  <w:color w:val="0000EE"/>
                </w:rPr>
                <w:t xml:space="preserve"> to the Company’s Registration Statement on Form S-1 (File No. 333-256648) filed on May 28, 2021)</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30">
              <w:r>
                <w:rPr>
                  <w:rFonts w:ascii="Arial" w:cs="Arial" w:eastAsia="Arial" w:hAnsi="Arial"/>
                  <w:sz w:val="18"/>
                  <w:szCs w:val="18"/>
                  <w:color w:val="0000EE"/>
                </w:rPr>
                <w:t>99.</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Fifth Amendment to the Century Therapeutics, Inc. 2018 Stock Option and Grant Plan (incorporated herein by reference to Exhibit 10.7</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to the Company’s Registration Statement on Form S-1 (File No. 333-256648) filed on May 28,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31">
              <w:r>
                <w:rPr>
                  <w:rFonts w:ascii="Arial" w:cs="Arial" w:eastAsia="Arial" w:hAnsi="Arial"/>
                  <w:sz w:val="18"/>
                  <w:szCs w:val="18"/>
                  <w:color w:val="0000EE"/>
                </w:rPr>
                <w:t>99.</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Form of Restricted Stock Award Agreement, under the 2018 Stock Option and Grant Plan (incorporated herein by reference to Exhibit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10</w:t>
              </w:r>
              <w:r>
                <w:rPr>
                  <w:rFonts w:ascii="Arial" w:cs="Arial" w:eastAsia="Arial" w:hAnsi="Arial"/>
                  <w:sz w:val="18"/>
                  <w:szCs w:val="18"/>
                  <w:color w:val="0000EE"/>
                  <w:w w:val="91"/>
                </w:rPr>
                <w:t xml:space="preserve"> to the Company’s Registration Statement on Form S-1 (File No. 333-256648) filed on May 28, 2021)</w:t>
              </w:r>
            </w:hyperlink>
          </w:p>
        </w:tc>
        <w:tc>
          <w:tcPr>
            <w:tcW w:w="1940" w:type="dxa"/>
            <w:vAlign w:val="bottom"/>
            <w:tcBorders>
              <w:top w:val="single" w:sz="8" w:color="0000EE"/>
            </w:tcBorders>
            <w:gridSpan w:val="10"/>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32">
              <w:r>
                <w:rPr>
                  <w:rFonts w:ascii="Arial" w:cs="Arial" w:eastAsia="Arial" w:hAnsi="Arial"/>
                  <w:sz w:val="18"/>
                  <w:szCs w:val="18"/>
                  <w:color w:val="0000EE"/>
                </w:rPr>
                <w:t>99.</w:t>
              </w:r>
              <w:r>
                <w:rPr>
                  <w:rFonts w:ascii="Arial" w:cs="Arial" w:eastAsia="Arial" w:hAnsi="Arial"/>
                  <w:sz w:val="18"/>
                  <w:szCs w:val="18"/>
                  <w:u w:val="single" w:color="auto"/>
                  <w:color w:val="0000EE"/>
                </w:rPr>
                <w:t>8</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5"/>
              </w:rPr>
            </w:pPr>
            <w:hyperlink r:id="rId32">
              <w:r>
                <w:rPr>
                  <w:rFonts w:ascii="Arial" w:cs="Arial" w:eastAsia="Arial" w:hAnsi="Arial"/>
                  <w:sz w:val="18"/>
                  <w:szCs w:val="18"/>
                  <w:color w:val="0000EE"/>
                  <w:w w:val="95"/>
                </w:rPr>
                <w:t>Form of Non-Qualified Stock Option Agreement, under the 2018 Stock Option and Grant Plan (incorporated herein by reference to</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Exhibit 10.11 to the Company’s Registration Statement on Form S-1 (File No. 333-256648) filed on May 28, 2021)</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33">
              <w:r>
                <w:rPr>
                  <w:rFonts w:ascii="Arial" w:cs="Arial" w:eastAsia="Arial" w:hAnsi="Arial"/>
                  <w:sz w:val="18"/>
                  <w:szCs w:val="18"/>
                  <w:color w:val="0000EE"/>
                </w:rPr>
                <w:t>99.</w:t>
              </w:r>
              <w:r>
                <w:rPr>
                  <w:rFonts w:ascii="Arial" w:cs="Arial" w:eastAsia="Arial" w:hAnsi="Arial"/>
                  <w:sz w:val="18"/>
                  <w:szCs w:val="18"/>
                  <w:u w:val="single" w:color="auto"/>
                  <w:color w:val="0000EE"/>
                </w:rPr>
                <w:t>9</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Century Therapeutics, Inc. 2021 Equity Incentive Plan (incorporated herein by reference to Exhibit 10.8 to the Company’s Registration</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Statement on Form S-1/A (File No. 333-256648) filed on June 14, 2021)</w:t>
              </w:r>
            </w:hyperlink>
          </w:p>
        </w:tc>
        <w:tc>
          <w:tcPr>
            <w:tcW w:w="4500" w:type="dxa"/>
            <w:vAlign w:val="bottom"/>
            <w:tcBorders>
              <w:top w:val="single" w:sz="8" w:color="0000EE"/>
            </w:tcBorders>
            <w:gridSpan w:val="20"/>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34">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10</w:t>
              </w:r>
            </w:hyperlink>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Form of Stock Option Grant Notice and Award Agreement, under the 2021 Plan (incorporated herein by reference to Exhibit 10.13 to the</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Company’s Registration Statement on Form S-1 (File No. 333-256648) filed on May 28, 2021)</w:t>
              </w:r>
            </w:hyperlink>
          </w:p>
        </w:tc>
        <w:tc>
          <w:tcPr>
            <w:tcW w:w="302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35">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11</w:t>
              </w:r>
            </w:hyperlink>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4"/>
          </w:tcPr>
          <w:p>
            <w:pPr>
              <w:spacing w:after="0"/>
              <w:rPr>
                <w:rFonts w:ascii="Arial" w:cs="Arial" w:eastAsia="Arial" w:hAnsi="Arial"/>
                <w:sz w:val="18"/>
                <w:szCs w:val="18"/>
                <w:color w:val="0000EE"/>
                <w:w w:val="94"/>
              </w:rPr>
            </w:pPr>
            <w:hyperlink r:id="rId35">
              <w:r>
                <w:rPr>
                  <w:rFonts w:ascii="Arial" w:cs="Arial" w:eastAsia="Arial" w:hAnsi="Arial"/>
                  <w:sz w:val="18"/>
                  <w:szCs w:val="18"/>
                  <w:color w:val="0000EE"/>
                  <w:w w:val="94"/>
                </w:rPr>
                <w:t>Form of Restricted Stock Unit Grant Notice and Award Agreement, under the 2021 Plan (incorporated herein by reference to Exhibit</w:t>
              </w:r>
            </w:hyperlink>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14</w:t>
              </w:r>
              <w:r>
                <w:rPr>
                  <w:rFonts w:ascii="Arial" w:cs="Arial" w:eastAsia="Arial" w:hAnsi="Arial"/>
                  <w:sz w:val="18"/>
                  <w:szCs w:val="18"/>
                  <w:color w:val="0000EE"/>
                  <w:w w:val="91"/>
                </w:rPr>
                <w:t xml:space="preserve"> to the Company’s Registration Statement on Form S-1 (File No. 333-256648) filed on May 28, 2021)</w:t>
              </w:r>
            </w:hyperlink>
          </w:p>
        </w:tc>
        <w:tc>
          <w:tcPr>
            <w:tcW w:w="1820" w:type="dxa"/>
            <w:vAlign w:val="bottom"/>
            <w:tcBorders>
              <w:top w:val="single" w:sz="8" w:color="0000EE"/>
            </w:tcBorders>
            <w:gridSpan w:val="6"/>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36">
              <w:r>
                <w:rPr>
                  <w:rFonts w:ascii="Arial" w:cs="Arial" w:eastAsia="Arial" w:hAnsi="Arial"/>
                  <w:sz w:val="18"/>
                  <w:szCs w:val="18"/>
                  <w:color w:val="0000EE"/>
                  <w:w w:val="88"/>
                </w:rPr>
                <w:t>99.</w:t>
              </w:r>
              <w:r>
                <w:rPr>
                  <w:rFonts w:ascii="Arial" w:cs="Arial" w:eastAsia="Arial" w:hAnsi="Arial"/>
                  <w:sz w:val="18"/>
                  <w:szCs w:val="18"/>
                  <w:u w:val="single" w:color="auto"/>
                  <w:color w:val="0000EE"/>
                  <w:w w:val="88"/>
                </w:rPr>
                <w:t>12</w:t>
              </w:r>
            </w:hyperlink>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Century Therapeutics, Inc. 2021 Employee Stock Purchase Plan (incorporated herein by reference to Exhibit 10.9 to the Company’s</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Registration Statement on Form S-1/A (File No. 333-256648) filed on June 14, 2021)</w:t>
              </w:r>
            </w:hyperlink>
          </w:p>
        </w:tc>
        <w:tc>
          <w:tcPr>
            <w:tcW w:w="3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2260" w:hanging="956"/>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0" w:lineRule="exact"/>
        <w:rPr>
          <w:rFonts w:ascii="Arial" w:cs="Arial" w:eastAsia="Arial" w:hAnsi="Arial"/>
          <w:sz w:val="16"/>
          <w:szCs w:val="16"/>
          <w:color w:val="auto"/>
        </w:rPr>
      </w:pPr>
    </w:p>
    <w:p>
      <w:pPr>
        <w:ind w:left="3580" w:hanging="980"/>
        <w:spacing w:after="0"/>
        <w:tabs>
          <w:tab w:leader="none" w:pos="35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960" w:firstLine="640"/>
        <w:spacing w:after="0" w:line="271" w:lineRule="auto"/>
        <w:tabs>
          <w:tab w:leader="none" w:pos="3548"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left="1960" w:right="20" w:firstLine="640"/>
        <w:spacing w:after="0" w:line="277" w:lineRule="auto"/>
        <w:tabs>
          <w:tab w:leader="none" w:pos="3507"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shall not apply if the information required to be included on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by or furnished to the Commission by the Company pursuant to Section 13 or Section 15(d) of the Exchange Act that are incorporated by reference in this Registration Statement.</w:t>
      </w:r>
    </w:p>
    <w:p>
      <w:pPr>
        <w:spacing w:after="0" w:line="184" w:lineRule="exact"/>
        <w:rPr>
          <w:sz w:val="20"/>
          <w:szCs w:val="20"/>
          <w:color w:val="auto"/>
        </w:rPr>
      </w:pPr>
    </w:p>
    <w:p>
      <w:pPr>
        <w:ind w:left="660" w:right="140" w:firstLine="1292"/>
        <w:spacing w:after="0" w:line="263" w:lineRule="auto"/>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660" w:right="340" w:firstLine="1292"/>
        <w:spacing w:after="0" w:line="277" w:lineRule="auto"/>
        <w:tabs>
          <w:tab w:leader="none" w:pos="2705"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60" w:right="140" w:firstLine="644"/>
        <w:spacing w:after="0" w:line="257" w:lineRule="auto"/>
        <w:tabs>
          <w:tab w:leader="none" w:pos="223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660" w:right="180" w:firstLine="644"/>
        <w:spacing w:after="0" w:line="271" w:lineRule="auto"/>
        <w:tabs>
          <w:tab w:leader="none" w:pos="227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day of July, 2021.</w:t>
      </w:r>
    </w:p>
    <w:p>
      <w:pPr>
        <w:spacing w:after="0" w:line="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320" w:top="904" w:right="109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KNOW ALL PERSONS BY THESE PRESENTS</w:t>
      </w:r>
      <w:r>
        <w:rPr>
          <w:rFonts w:ascii="Arial" w:cs="Arial" w:eastAsia="Arial" w:hAnsi="Arial"/>
          <w:sz w:val="16"/>
          <w:szCs w:val="16"/>
          <w:color w:val="auto"/>
        </w:rPr>
        <w:t>, that each person whose signature appears below hereby constitutes and appoints Osvaldo Flores,</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Michael Diem, M.D.,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p>
      <w:pPr>
        <w:ind w:left="1360"/>
        <w:spacing w:after="0"/>
        <w:tabs>
          <w:tab w:leader="none" w:pos="6260" w:val="left"/>
          <w:tab w:leader="none" w:pos="101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Osvaldo Flores, Ph.D.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Michael Diem, M.D.</w:t>
      </w: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Joseph Jimenez</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7"/>
          <w:szCs w:val="17"/>
          <w:color w:val="auto"/>
        </w:rPr>
        <w:t>/s/ Kimberly Blackwell,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2117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Kimberly Blackwell, M.D.</w:t>
      </w: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Cynthia Butitta</w:t>
      </w: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Eli Casdin</w:t>
      </w: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Alessandro Riva,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Alessandro Riva, M.D.</w:t>
      </w: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 Carlo Rizzuto,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1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Carlo Rizzuto,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jc w:val="center"/>
              <w:ind w:right="73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ind w:left="860"/>
              <w:spacing w:after="0"/>
              <w:rPr>
                <w:sz w:val="20"/>
                <w:szCs w:val="20"/>
                <w:color w:val="auto"/>
              </w:rPr>
            </w:pPr>
            <w:r>
              <w:rPr>
                <w:rFonts w:ascii="Arial" w:cs="Arial" w:eastAsia="Arial" w:hAnsi="Arial"/>
                <w:sz w:val="18"/>
                <w:szCs w:val="18"/>
                <w:color w:val="auto"/>
                <w:w w:val="88"/>
              </w:rPr>
              <w:t>July 2, 2021</w:t>
            </w:r>
          </w:p>
        </w:tc>
        <w:tc>
          <w:tcPr>
            <w:tcW w:w="0" w:type="dxa"/>
            <w:vAlign w:val="bottom"/>
          </w:tcPr>
          <w:p>
            <w:pPr>
              <w:spacing w:after="0"/>
              <w:rPr>
                <w:sz w:val="1"/>
                <w:szCs w:val="1"/>
                <w:color w:val="auto"/>
              </w:rPr>
            </w:pPr>
          </w:p>
        </w:tc>
      </w:tr>
      <w:tr>
        <w:trPr>
          <w:trHeight w:val="230"/>
        </w:trPr>
        <w:tc>
          <w:tcPr>
            <w:tcW w:w="4260" w:type="dxa"/>
            <w:vAlign w:val="bottom"/>
          </w:tcPr>
          <w:p>
            <w:pPr>
              <w:jc w:val="center"/>
              <w:ind w:right="75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260" w:type="dxa"/>
            <w:vAlign w:val="bottom"/>
          </w:tcPr>
          <w:p>
            <w:pPr>
              <w:jc w:val="center"/>
              <w:ind w:right="730"/>
              <w:spacing w:after="0"/>
              <w:rPr>
                <w:sz w:val="20"/>
                <w:szCs w:val="20"/>
                <w:color w:val="auto"/>
              </w:rPr>
            </w:pPr>
            <w:r>
              <w:rPr>
                <w:rFonts w:ascii="Arial" w:cs="Arial" w:eastAsia="Arial" w:hAnsi="Arial"/>
                <w:sz w:val="18"/>
                <w:szCs w:val="18"/>
                <w:color w:val="auto"/>
                <w:w w:val="92"/>
              </w:rPr>
              <w:t>Chief Business Officer</w:t>
            </w:r>
          </w:p>
        </w:tc>
        <w:tc>
          <w:tcPr>
            <w:tcW w:w="1740" w:type="dxa"/>
            <w:vAlign w:val="bottom"/>
          </w:tcPr>
          <w:p>
            <w:pPr>
              <w:ind w:left="820"/>
              <w:spacing w:after="0"/>
              <w:rPr>
                <w:sz w:val="20"/>
                <w:szCs w:val="20"/>
                <w:color w:val="auto"/>
              </w:rPr>
            </w:pPr>
            <w:r>
              <w:rPr>
                <w:rFonts w:ascii="Arial" w:cs="Arial" w:eastAsia="Arial" w:hAnsi="Arial"/>
                <w:sz w:val="18"/>
                <w:szCs w:val="18"/>
                <w:color w:val="auto"/>
                <w:w w:val="92"/>
              </w:rPr>
              <w:t>July 2, 2021</w:t>
            </w:r>
          </w:p>
        </w:tc>
        <w:tc>
          <w:tcPr>
            <w:tcW w:w="0" w:type="dxa"/>
            <w:vAlign w:val="bottom"/>
          </w:tcPr>
          <w:p>
            <w:pPr>
              <w:spacing w:after="0"/>
              <w:rPr>
                <w:sz w:val="1"/>
                <w:szCs w:val="1"/>
                <w:color w:val="auto"/>
              </w:rPr>
            </w:pPr>
          </w:p>
        </w:tc>
      </w:tr>
      <w:tr>
        <w:trPr>
          <w:trHeight w:val="230"/>
        </w:trPr>
        <w:tc>
          <w:tcPr>
            <w:tcW w:w="4260" w:type="dxa"/>
            <w:vAlign w:val="bottom"/>
          </w:tcPr>
          <w:p>
            <w:pPr>
              <w:jc w:val="center"/>
              <w:ind w:right="730"/>
              <w:spacing w:after="0"/>
              <w:rPr>
                <w:sz w:val="20"/>
                <w:szCs w:val="20"/>
                <w:color w:val="auto"/>
              </w:rPr>
            </w:pPr>
            <w:r>
              <w:rPr>
                <w:rFonts w:ascii="Arial" w:cs="Arial" w:eastAsia="Arial" w:hAnsi="Arial"/>
                <w:sz w:val="18"/>
                <w:szCs w:val="18"/>
                <w:color w:val="auto"/>
                <w:w w:val="94"/>
              </w:rPr>
              <w:t>(Principal Financial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260" w:type="dxa"/>
            <w:vAlign w:val="bottom"/>
            <w:vMerge w:val="restart"/>
          </w:tcPr>
          <w:p>
            <w:pPr>
              <w:jc w:val="center"/>
              <w:ind w:right="750"/>
              <w:spacing w:after="0"/>
              <w:rPr>
                <w:sz w:val="20"/>
                <w:szCs w:val="20"/>
                <w:color w:val="auto"/>
              </w:rPr>
            </w:pPr>
            <w:r>
              <w:rPr>
                <w:rFonts w:ascii="Arial" w:cs="Arial" w:eastAsia="Arial" w:hAnsi="Arial"/>
                <w:sz w:val="18"/>
                <w:szCs w:val="18"/>
                <w:color w:val="auto"/>
                <w:w w:val="91"/>
              </w:rPr>
              <w:t>Chairman, Board of Directors</w:t>
            </w:r>
          </w:p>
        </w:tc>
        <w:tc>
          <w:tcPr>
            <w:tcW w:w="1740" w:type="dxa"/>
            <w:vAlign w:val="bottom"/>
          </w:tcPr>
          <w:p>
            <w:pPr>
              <w:ind w:left="840"/>
              <w:spacing w:after="0"/>
              <w:rPr>
                <w:sz w:val="20"/>
                <w:szCs w:val="20"/>
                <w:color w:val="auto"/>
              </w:rPr>
            </w:pPr>
            <w:r>
              <w:rPr>
                <w:rFonts w:ascii="Arial" w:cs="Arial" w:eastAsia="Arial" w:hAnsi="Arial"/>
                <w:sz w:val="18"/>
                <w:szCs w:val="18"/>
                <w:color w:val="auto"/>
                <w:w w:val="90"/>
              </w:rPr>
              <w:t>July 2, 2021</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260" w:type="dxa"/>
            <w:vAlign w:val="bottom"/>
          </w:tcPr>
          <w:p>
            <w:pPr>
              <w:spacing w:after="0"/>
              <w:rPr>
                <w:sz w:val="24"/>
                <w:szCs w:val="24"/>
                <w:color w:val="auto"/>
              </w:rPr>
            </w:pPr>
          </w:p>
        </w:tc>
        <w:tc>
          <w:tcPr>
            <w:tcW w:w="1740" w:type="dxa"/>
            <w:vAlign w:val="bottom"/>
          </w:tcPr>
          <w:p>
            <w:pPr>
              <w:ind w:left="860"/>
              <w:spacing w:after="0"/>
              <w:rPr>
                <w:sz w:val="20"/>
                <w:szCs w:val="20"/>
                <w:color w:val="auto"/>
              </w:rPr>
            </w:pPr>
            <w:r>
              <w:rPr>
                <w:rFonts w:ascii="Arial" w:cs="Arial" w:eastAsia="Arial" w:hAnsi="Arial"/>
                <w:sz w:val="18"/>
                <w:szCs w:val="18"/>
                <w:color w:val="auto"/>
                <w:w w:val="88"/>
              </w:rPr>
              <w:t>July 2, 2021</w:t>
            </w:r>
          </w:p>
        </w:tc>
        <w:tc>
          <w:tcPr>
            <w:tcW w:w="0" w:type="dxa"/>
            <w:vAlign w:val="bottom"/>
          </w:tcPr>
          <w:p>
            <w:pPr>
              <w:spacing w:after="0"/>
              <w:rPr>
                <w:sz w:val="1"/>
                <w:szCs w:val="1"/>
                <w:color w:val="auto"/>
              </w:rPr>
            </w:pPr>
          </w:p>
        </w:tc>
      </w:tr>
      <w:tr>
        <w:trPr>
          <w:trHeight w:val="432"/>
        </w:trPr>
        <w:tc>
          <w:tcPr>
            <w:tcW w:w="426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260" w:type="dxa"/>
            <w:vAlign w:val="bottom"/>
            <w:vMerge w:val="restart"/>
          </w:tcPr>
          <w:p>
            <w:pPr>
              <w:jc w:val="center"/>
              <w:ind w:right="73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840"/>
              <w:spacing w:after="0"/>
              <w:rPr>
                <w:sz w:val="20"/>
                <w:szCs w:val="20"/>
                <w:color w:val="auto"/>
              </w:rPr>
            </w:pPr>
            <w:r>
              <w:rPr>
                <w:rFonts w:ascii="Arial" w:cs="Arial" w:eastAsia="Arial" w:hAnsi="Arial"/>
                <w:sz w:val="18"/>
                <w:szCs w:val="18"/>
                <w:color w:val="auto"/>
                <w:w w:val="90"/>
              </w:rPr>
              <w:t>July 2, 2021</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260" w:type="dxa"/>
            <w:vAlign w:val="bottom"/>
            <w:vMerge w:val="restart"/>
          </w:tcPr>
          <w:p>
            <w:pPr>
              <w:jc w:val="center"/>
              <w:ind w:right="73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840"/>
              <w:spacing w:after="0"/>
              <w:rPr>
                <w:sz w:val="20"/>
                <w:szCs w:val="20"/>
                <w:color w:val="auto"/>
              </w:rPr>
            </w:pPr>
            <w:r>
              <w:rPr>
                <w:rFonts w:ascii="Arial" w:cs="Arial" w:eastAsia="Arial" w:hAnsi="Arial"/>
                <w:sz w:val="18"/>
                <w:szCs w:val="18"/>
                <w:color w:val="auto"/>
                <w:w w:val="90"/>
              </w:rPr>
              <w:t>July 2, 2021</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260" w:type="dxa"/>
            <w:vAlign w:val="bottom"/>
            <w:vMerge w:val="restart"/>
          </w:tcPr>
          <w:p>
            <w:pPr>
              <w:jc w:val="center"/>
              <w:ind w:right="73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860"/>
              <w:spacing w:after="0"/>
              <w:rPr>
                <w:sz w:val="20"/>
                <w:szCs w:val="20"/>
                <w:color w:val="auto"/>
              </w:rPr>
            </w:pPr>
            <w:r>
              <w:rPr>
                <w:rFonts w:ascii="Arial" w:cs="Arial" w:eastAsia="Arial" w:hAnsi="Arial"/>
                <w:sz w:val="18"/>
                <w:szCs w:val="18"/>
                <w:color w:val="auto"/>
                <w:w w:val="88"/>
              </w:rPr>
              <w:t>July 2, 2021</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260" w:type="dxa"/>
            <w:vAlign w:val="bottom"/>
            <w:vMerge w:val="restart"/>
          </w:tcPr>
          <w:p>
            <w:pPr>
              <w:jc w:val="center"/>
              <w:ind w:right="73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ind w:left="840"/>
              <w:spacing w:after="0"/>
              <w:rPr>
                <w:sz w:val="20"/>
                <w:szCs w:val="20"/>
                <w:color w:val="auto"/>
              </w:rPr>
            </w:pPr>
            <w:r>
              <w:rPr>
                <w:rFonts w:ascii="Arial" w:cs="Arial" w:eastAsia="Arial" w:hAnsi="Arial"/>
                <w:sz w:val="18"/>
                <w:szCs w:val="18"/>
                <w:color w:val="auto"/>
                <w:w w:val="90"/>
              </w:rPr>
              <w:t>July 2, 2021</w:t>
            </w:r>
          </w:p>
        </w:tc>
        <w:tc>
          <w:tcPr>
            <w:tcW w:w="0" w:type="dxa"/>
            <w:vAlign w:val="bottom"/>
          </w:tcPr>
          <w:p>
            <w:pPr>
              <w:spacing w:after="0"/>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548640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40" w:space="720"/>
            <w:col w:w="6360"/>
          </w:cols>
          <w:pgMar w:left="320" w:top="904" w:right="4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-121920</wp:posOffset>
            </wp:positionV>
            <wp:extent cx="1568450" cy="779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1568450" cy="7797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3675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19104</w:t>
      </w:r>
    </w:p>
    <w:p>
      <w:pPr>
        <w:spacing w:after="0" w:line="211"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acted as special counsel to Century Therapeutics,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preparation and filing of its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with the Securities and Exchange Commission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issuance of up to 11,564,074 shares of common stock, par value $0.0001 per share, of the Company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which may be issued pursuant to the Company’s 2018 Stock Option and Grant Plan, as amended (the “</w:t>
      </w:r>
      <w:r>
        <w:rPr>
          <w:rFonts w:ascii="Arial" w:cs="Arial" w:eastAsia="Arial" w:hAnsi="Arial"/>
          <w:sz w:val="17"/>
          <w:szCs w:val="17"/>
          <w:b w:val="1"/>
          <w:bCs w:val="1"/>
          <w:i w:val="1"/>
          <w:iCs w:val="1"/>
          <w:color w:val="auto"/>
        </w:rPr>
        <w:t>2018 Plan</w:t>
      </w:r>
      <w:r>
        <w:rPr>
          <w:rFonts w:ascii="Arial" w:cs="Arial" w:eastAsia="Arial" w:hAnsi="Arial"/>
          <w:sz w:val="17"/>
          <w:szCs w:val="17"/>
          <w:color w:val="auto"/>
        </w:rPr>
        <w:t>”), the Company’s 2021 Equity Incentive Plan, (the “</w:t>
      </w:r>
      <w:r>
        <w:rPr>
          <w:rFonts w:ascii="Arial" w:cs="Arial" w:eastAsia="Arial" w:hAnsi="Arial"/>
          <w:sz w:val="17"/>
          <w:szCs w:val="17"/>
          <w:b w:val="1"/>
          <w:bCs w:val="1"/>
          <w:i w:val="1"/>
          <w:iCs w:val="1"/>
          <w:color w:val="auto"/>
        </w:rPr>
        <w:t>2021 Equity Incentive Plan</w:t>
      </w:r>
      <w:r>
        <w:rPr>
          <w:rFonts w:ascii="Arial" w:cs="Arial" w:eastAsia="Arial" w:hAnsi="Arial"/>
          <w:sz w:val="17"/>
          <w:szCs w:val="17"/>
          <w:color w:val="auto"/>
        </w:rPr>
        <w:t>”) and the Company’s 2021 Employee Stock Purchase Plan (the “</w:t>
      </w:r>
      <w:r>
        <w:rPr>
          <w:rFonts w:ascii="Arial" w:cs="Arial" w:eastAsia="Arial" w:hAnsi="Arial"/>
          <w:sz w:val="17"/>
          <w:szCs w:val="17"/>
          <w:b w:val="1"/>
          <w:bCs w:val="1"/>
          <w:i w:val="1"/>
          <w:iCs w:val="1"/>
          <w:color w:val="auto"/>
        </w:rPr>
        <w:t>2021 Employee Stock 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together with the 2018 Plan and the 2021 Equity Incentive Plan,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This opinion letter is furnished to you at your request to enable you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fulfill the requirements of Item 601(b)(5) of Regulation S-K, 17 C.F.R. § 229.601(b)(5), in connection with the Registration Statement, and no opinion is expressed herein as to any matter pertaining to the contents of the Registration Statement or related prospectus, other than as expressly stated herein with respect to the issuance of the Shares.</w:t>
      </w:r>
    </w:p>
    <w:p>
      <w:pPr>
        <w:spacing w:after="0" w:line="18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6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5754370</wp:posOffset>
            </wp:positionH>
            <wp:positionV relativeFrom="page">
              <wp:posOffset>226060</wp:posOffset>
            </wp:positionV>
            <wp:extent cx="1585595" cy="916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916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Century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Based upon, subject to and limited by the foregoing, we are of the opinion as of the date hereof, when the Shares shall have been duly registered on the books of the transfer agent and registrar therefor in the name or on behalf of the recipients, and have been issued by the Company for legal consideration in excess of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applicable Plan (and the agreements duly adopted thereunder and in accordance therewith), the issue and sale of the Shares will have been duly authorized by all necessary corporate action of the Company, and the Shares will be validly issued, fully paid, and nonassessable.</w:t>
      </w:r>
    </w:p>
    <w:p>
      <w:pPr>
        <w:spacing w:after="0" w:line="1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opinion letter has been prepared for use in connection with the Registration Statement. We assume no obligation to advise you of any changes in the foregoing subsequent to the effective date of the Registration Statement.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an “expert” within the meaning of the Act.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Troutman Pepper Hamilton Sanders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Troutman Pepper Hamilton Sanders LLP</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2018 Stock Option and Grant Plan, as amended, 2021 Equity Incentive Plan and 2021 Employee Stock Purchase Plan of Century Therapeutics, Inc. of our report dated May 5, 2021 (except for the reverse stock split discussed in Note 2, as to which the date is June 14, 2021) with respect to the consolidated financial statements of Century Therapeutics, Inc. included in Amendment No. 2 to the Registration Statement (Form S-1 No. 333-256648) and related Prospectus of Century Therapeutics, Inc.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2"/>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jpe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jpe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18" Type="http://schemas.openxmlformats.org/officeDocument/2006/relationships/hyperlink" Target="http://www.sec.gov/Archives/edgar/data/1850119/000110465921082886/tm218551-17_424b4.htm" TargetMode="External"/><Relationship Id="rId19" Type="http://schemas.openxmlformats.org/officeDocument/2006/relationships/hyperlink" Target="http://www.sec.gov/Archives/edgar/data/1850119/000110465921080760/tm218551d12_8a12b.htm" TargetMode="External"/><Relationship Id="rId20" Type="http://schemas.openxmlformats.org/officeDocument/2006/relationships/hyperlink" Target="http://www.sec.gov/Archives/edgar/data/1850119/000110465921085744/tm2120666d1_8k.htm" TargetMode="External"/><Relationship Id="rId22" Type="http://schemas.openxmlformats.org/officeDocument/2006/relationships/hyperlink" Target="http://www.sec.gov/Archives/edgar/data/1850119/000110465921085744/tm2120666d1_ex3-1.htm" TargetMode="External"/><Relationship Id="rId23" Type="http://schemas.openxmlformats.org/officeDocument/2006/relationships/hyperlink" Target="http://www.sec.gov/Archives/edgar/data/1850119/000110465921085744/tm2120666d1_ex3-2.htm" TargetMode="External"/><Relationship Id="rId24" Type="http://schemas.openxmlformats.org/officeDocument/2006/relationships/hyperlink" Target="http://www.sec.gov/Archives/edgar/data/1850119/000110465921080429/tm218551d10_ex4-1.htm" TargetMode="External"/><Relationship Id="rId25" Type="http://schemas.openxmlformats.org/officeDocument/2006/relationships/hyperlink" Target="http://www.sec.gov/Archives/edgar/data/1850119/000110465921074278/tm218551d7_ex10-2.htm" TargetMode="External"/><Relationship Id="rId26" Type="http://schemas.openxmlformats.org/officeDocument/2006/relationships/hyperlink" Target="http://www.sec.gov/Archives/edgar/data/1850119/000110465921074278/tm218551d7_ex10-3.htm" TargetMode="External"/><Relationship Id="rId27" Type="http://schemas.openxmlformats.org/officeDocument/2006/relationships/hyperlink" Target="http://www.sec.gov/Archives/edgar/data/1850119/000110465921074278/tm218551d7_ex10-4.htm" TargetMode="External"/><Relationship Id="rId28" Type="http://schemas.openxmlformats.org/officeDocument/2006/relationships/hyperlink" Target="http://www.sec.gov/Archives/edgar/data/1850119/000110465921074278/tm218551d7_ex10-5.htm" TargetMode="External"/><Relationship Id="rId29" Type="http://schemas.openxmlformats.org/officeDocument/2006/relationships/hyperlink" Target="http://www.sec.gov/Archives/edgar/data/1850119/000110465921074278/tm218551d7_ex10-6.htm" TargetMode="External"/><Relationship Id="rId30" Type="http://schemas.openxmlformats.org/officeDocument/2006/relationships/hyperlink" Target="http://www.sec.gov/Archives/edgar/data/1850119/000110465921074278/tm218551d7_ex10-7.htm" TargetMode="External"/><Relationship Id="rId31" Type="http://schemas.openxmlformats.org/officeDocument/2006/relationships/hyperlink" Target="http://www.sec.gov/Archives/edgar/data/1850119/000110465921074278/tm218551d7_ex10-10.htm" TargetMode="External"/><Relationship Id="rId32" Type="http://schemas.openxmlformats.org/officeDocument/2006/relationships/hyperlink" Target="http://www.sec.gov/Archives/edgar/data/1850119/000110465921074278/tm218551d7_ex10-11.htm" TargetMode="External"/><Relationship Id="rId33" Type="http://schemas.openxmlformats.org/officeDocument/2006/relationships/hyperlink" Target="http://www.sec.gov/Archives/edgar/data/1850119/000110465921080429/tm218551d10_ex10-8.htm" TargetMode="External"/><Relationship Id="rId34" Type="http://schemas.openxmlformats.org/officeDocument/2006/relationships/hyperlink" Target="http://www.sec.gov/Archives/edgar/data/1850119/000110465921074278/tm218551d7_ex10-13.htm" TargetMode="External"/><Relationship Id="rId35" Type="http://schemas.openxmlformats.org/officeDocument/2006/relationships/hyperlink" Target="http://www.sec.gov/Archives/edgar/data/1850119/000110465921074278/tm218551d7_ex10-14.htm" TargetMode="External"/><Relationship Id="rId36" Type="http://schemas.openxmlformats.org/officeDocument/2006/relationships/hyperlink" Target="http://www.sec.gov/Archives/edgar/data/1850119/000110465921080429/tm218551d10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2021-07-02T15:42:02Z</dcterms:created>
  <dcterms:modified xsi:type="dcterms:W3CDTF">2021-07-02T15:42:02Z</dcterms:modified>
</cp:coreProperties>
</file>