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u w:val="single" w:color="auto"/>
          <w:color w:val="auto"/>
        </w:rPr>
        <w:t>Costs Associated with Exit or Disposal Activities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July 1, 2025,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approved a reduction in force as part of a broader effort to right size the organization to focus on programs with the highest potential for transformational value. The Company expects to implement a net reduction of its employee headcount by approximately 51% (the “</w:t>
      </w:r>
      <w:r>
        <w:rPr>
          <w:rFonts w:ascii="Times New Roman" w:cs="Times New Roman" w:eastAsia="Times New Roman" w:hAnsi="Times New Roman"/>
          <w:sz w:val="18"/>
          <w:szCs w:val="18"/>
          <w:u w:val="single" w:color="auto"/>
          <w:color w:val="auto"/>
        </w:rPr>
        <w:t>RIF</w:t>
      </w:r>
      <w:r>
        <w:rPr>
          <w:rFonts w:ascii="Times New Roman" w:cs="Times New Roman" w:eastAsia="Times New Roman" w:hAnsi="Times New Roman"/>
          <w:sz w:val="18"/>
          <w:szCs w:val="18"/>
          <w:color w:val="auto"/>
        </w:rPr>
        <w:t>”). As part of the RIF, the Company estimates that it will incur charges of approximately $3.7 million for severance and other employee termination-related costs. These costs consist primarily of cash expenditures related to severance payments. The Company estimates that the workforce reduction will be substantially completed by the end of the third quarter of 2025.</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estimate of costs that the Company expects to incur, and the timing thereof are subject to a number of assumptions and actual results may differ. The Company may also incur additional costs not currently contemplated due to events that may occur as a result of, or that are associated with, the actions described above.</w:t>
      </w:r>
    </w:p>
    <w:p>
      <w:pPr>
        <w:spacing w:after="0" w:line="172" w:lineRule="exact"/>
        <w:rPr>
          <w:sz w:val="20"/>
          <w:szCs w:val="20"/>
          <w:color w:val="auto"/>
        </w:rPr>
      </w:pPr>
    </w:p>
    <w:p>
      <w:pPr>
        <w:ind w:left="1300" w:right="10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u w:val="single" w:color="auto"/>
          <w:color w:val="auto"/>
        </w:rPr>
        <w:t>Departure of Directors or Certain Officers; Election of Directors; Appointment of Certain Officers; Compensatory Arrangements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 and Chief Development Officer</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RIF, on July 1, 2025, the Board approved the departure of Morgan Conn, Ph.D. from his position as the Company’s Chief Financial Officer, effective July 11, 2025 and Adrienne Farid, Ph.D. from her position as the Company’s Chief Development Officer, effective July 31, 2025. Each such departure will be a termination without Cause as defined in the executive Employment Agreement between the Company and each executive, dated September 20, 2024 and May 26, 2021,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Interim Principal Financial Officer</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effectiveness of Dr. Conn’s departure from the Company, Douglas Carr, the Company’s Senior Vice President, Finance, will serve as 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Brent Pfeiffenberger, Pharm.D.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Brent Pfeiffenberger, Pharm.D.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2025-07-07T16:47:47Z</dcterms:created>
  <dcterms:modified xsi:type="dcterms:W3CDTF">2025-07-07T16:47:47Z</dcterms:modified>
</cp:coreProperties>
</file>