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7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787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 Douglas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VP Finance &amp; Operations</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02/02/2023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7,500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193,045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02/02/2023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7,500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200,545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4.64</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02/02/2023</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45,000</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45,000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ind w:left="1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4.64</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02/02/2023</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45,000</w:t>
            </w:r>
          </w:p>
        </w:tc>
        <w:tc>
          <w:tcPr>
            <w:tcW w:w="340" w:type="dxa"/>
            <w:vAlign w:val="bottom"/>
          </w:tcPr>
          <w:p>
            <w:pPr>
              <w:spacing w:after="0"/>
              <w:rPr>
                <w:sz w:val="16"/>
                <w:szCs w:val="16"/>
                <w:color w:val="auto"/>
              </w:rPr>
            </w:pP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02/02/2033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45,000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Century Therapeutic, Inc.'s (the "Company's") common stock. The RSUs vest 25% on February 2, 2024 and the remaining 75% vest on a quarterly basis for the three years thereafter, in each case subject the Reporting Person's continued service through the applicable vesting date. The RSUs will be settled on each applicable vesting date in shares of the Company's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February 2, 2024, with the remaining 75% vesting in 36 equal monthly installments, subject to the Reporting Person's continued service with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Michael Diem, Attorney-in-  </w:t>
      </w:r>
      <w:r>
        <w:rPr>
          <w:rFonts w:ascii="Times New Roman" w:cs="Times New Roman" w:eastAsia="Times New Roman" w:hAnsi="Times New Roman"/>
          <w:sz w:val="33"/>
          <w:szCs w:val="33"/>
          <w:color w:val="0000FF"/>
          <w:vertAlign w:val="subscript"/>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7173"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2023-02-06T17:54:05Z</dcterms:created>
  <dcterms:modified xsi:type="dcterms:W3CDTF">2023-02-06T17:54:05Z</dcterms:modified>
</cp:coreProperties>
</file>