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Cowan Chad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5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Century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IPSC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0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40" w:type="dxa"/>
            <w:vAlign w:val="bottom"/>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40" w:type="dxa"/>
            <w:vAlign w:val="bottom"/>
            <w:vMerge w:val="restart"/>
          </w:tcPr>
          <w:p>
            <w:pPr>
              <w:jc w:val="right"/>
              <w:ind w:right="633"/>
              <w:spacing w:after="0"/>
              <w:rPr>
                <w:sz w:val="20"/>
                <w:szCs w:val="20"/>
                <w:color w:val="auto"/>
              </w:rPr>
            </w:pPr>
            <w:r>
              <w:rPr>
                <w:rFonts w:ascii="Times New Roman" w:cs="Times New Roman" w:eastAsia="Times New Roman" w:hAnsi="Times New Roman"/>
                <w:sz w:val="17"/>
                <w:szCs w:val="17"/>
                <w:color w:val="0000FF"/>
              </w:rPr>
              <w:t>19104</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12/22/2025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58,060</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0.8483</w:t>
            </w: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1,045,087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7"/>
                <w:szCs w:val="17"/>
                <w:color w:val="0000FF"/>
              </w:rPr>
              <w:t>10,697</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profits from the reported transactions will be disgorged to the issuer pursuant to applicable requirements.</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Cowan Investment Nominee Trust. The Reporting Person disclaims beneficial ownership except to the extent of any pecuniary interest therein, and this report shall not be deemed an admission that such shares are beneficially owned by him for Section 16 or any other purpose.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Douglas Carr, Attorney-in-  </w:t>
      </w:r>
      <w:r>
        <w:rPr>
          <w:rFonts w:ascii="Times New Roman" w:cs="Times New Roman" w:eastAsia="Times New Roman" w:hAnsi="Times New Roman"/>
          <w:sz w:val="33"/>
          <w:szCs w:val="33"/>
          <w:color w:val="0000FF"/>
          <w:vertAlign w:val="subscript"/>
        </w:rPr>
        <w:t>12/29/2025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1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9294"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2025-12-29T16:39:00Z</dcterms:created>
  <dcterms:modified xsi:type="dcterms:W3CDTF">2025-12-29T16:39:00Z</dcterms:modified>
</cp:coreProperties>
</file>