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u w:val="single" w:color="auto"/>
          <w:color w:val="auto"/>
        </w:rPr>
        <w:t>Results of Operations and Financial Condition</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On August 8, 2024, Century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issued a press release announcing its financial results for the quarter ended June 30, 2024. A copy of the press release is furnished as Exhibit 99.1 to this Current Report on Form 8-K and is incorporated herein by reference.</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and shall not be deemed to be incorporated by reference in any filing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or the Exchange Act, except as shall be expressly set forth by specific reference in such filing.</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2"/>
          <w:szCs w:val="12"/>
          <w:color w:val="auto"/>
        </w:rPr>
        <w:t>On August 8, 2024,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5"/>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3"/>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38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Press Release of Century Therapeutics, Inc., dated August 8, 2024</w:t>
            </w:r>
          </w:p>
        </w:tc>
        <w:tc>
          <w:tcPr>
            <w:tcW w:w="6760" w:type="dxa"/>
            <w:vAlign w:val="bottom"/>
            <w:gridSpan w:val="2"/>
          </w:tcPr>
          <w:p>
            <w:pPr>
              <w:spacing w:after="0"/>
              <w:rPr>
                <w:sz w:val="21"/>
                <w:szCs w:val="21"/>
                <w:color w:val="auto"/>
              </w:rPr>
            </w:pPr>
          </w:p>
        </w:tc>
      </w:tr>
      <w:tr>
        <w:trPr>
          <w:trHeight w:val="241"/>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40" w:type="dxa"/>
            <w:vAlign w:val="bottom"/>
            <w:tcBorders>
              <w:bottom w:val="single" w:sz="8" w:color="0000EE"/>
            </w:tcBorders>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Investor Presentation of Century Therapeutics, Inc., dated August 8, 2024</w:t>
            </w:r>
          </w:p>
        </w:tc>
        <w:tc>
          <w:tcPr>
            <w:tcW w:w="6380" w:type="dxa"/>
            <w:vAlign w:val="bottom"/>
          </w:tcPr>
          <w:p>
            <w:pPr>
              <w:spacing w:after="0"/>
              <w:rPr>
                <w:sz w:val="20"/>
                <w:szCs w:val="20"/>
                <w:color w:val="auto"/>
              </w:rPr>
            </w:pP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rPr>
          <w:sz w:val="20"/>
          <w:szCs w:val="20"/>
          <w:color w:val="auto"/>
        </w:rPr>
      </w:pPr>
      <w:r>
        <w:rPr>
          <w:rFonts w:ascii="Times New Roman" w:cs="Times New Roman" w:eastAsia="Times New Roman" w:hAnsi="Times New Roman"/>
          <w:sz w:val="12"/>
          <w:szCs w:val="12"/>
          <w:color w:val="auto"/>
        </w:rPr>
        <w:t>Date: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1064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463040" cy="400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Century Therapeutics Reports Second Quarter 2024 Financial Results and Provides Business Updates</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i w:val="1"/>
          <w:iCs w:val="1"/>
          <w:color w:val="auto"/>
        </w:rPr>
        <w:t>– Initiation of Phase 1 CALiPSO-1 Trial of CNTY-101 in Systemic Lupus Erythematosus, marking strategic expansion into autoimmune disease; protocol amended to include additional cohort of Lupus Nephritis patients –</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i w:val="1"/>
          <w:iCs w:val="1"/>
          <w:color w:val="auto"/>
        </w:rPr>
        <w:t>– Presented interim results from Phase 1 ELiPSE-1 trial of CNTY-101 demonstrating encouraging preliminary efficacy and tolerability data in heavily pretreated relapsed/refractory (R/R) CD19-positive B-cell lymphomas</w:t>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2"/>
          <w:szCs w:val="12"/>
          <w:i w:val="1"/>
          <w:iCs w:val="1"/>
          <w:color w:val="auto"/>
        </w:rPr>
        <w:t>at ASCO –</w:t>
      </w:r>
    </w:p>
    <w:p>
      <w:pPr>
        <w:spacing w:after="0" w:line="13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2"/>
          <w:szCs w:val="12"/>
          <w:i w:val="1"/>
          <w:iCs w:val="1"/>
          <w:color w:val="auto"/>
        </w:rPr>
        <w:t>– Completed dose escalation for ELiPSE-1 and advancing into dose expansion in 2H 2024 –</w:t>
      </w:r>
    </w:p>
    <w:p>
      <w:pPr>
        <w:spacing w:after="0" w:line="1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i w:val="1"/>
          <w:iCs w:val="1"/>
          <w:color w:val="auto"/>
        </w:rPr>
        <w:t>– Ended second quarter 2024 with cash, cash equivalents, and investments of $269.6 million; Cash runway expected into 2026 –</w:t>
      </w:r>
    </w:p>
    <w:p>
      <w:pPr>
        <w:spacing w:after="0" w:line="15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PHILADELPHIA, August 8, 2024 -- Century Therapeutics</w:t>
      </w:r>
      <w:r>
        <w:rPr>
          <w:rFonts w:ascii="Times New Roman" w:cs="Times New Roman" w:eastAsia="Times New Roman" w:hAnsi="Times New Roman"/>
          <w:sz w:val="12"/>
          <w:szCs w:val="12"/>
          <w:u w:val="single" w:color="auto"/>
          <w:color w:val="auto"/>
        </w:rPr>
        <w:t>, Inc.</w:t>
      </w:r>
      <w:r>
        <w:rPr>
          <w:rFonts w:ascii="Times New Roman" w:cs="Times New Roman" w:eastAsia="Times New Roman" w:hAnsi="Times New Roman"/>
          <w:sz w:val="12"/>
          <w:szCs w:val="12"/>
          <w:color w:val="auto"/>
        </w:rPr>
        <w:t xml:space="preserve"> (NASDAQ: IPSC), an innovative biotechnology company developing induced pluripotent stem cell (iPSC)-derived cell therapies in immuno-oncology and autoimmune disease, today reported financial results and business highlights for the second quarter ended June 30, 2024.</w:t>
      </w:r>
    </w:p>
    <w:p>
      <w:pPr>
        <w:spacing w:after="0" w:line="11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2"/>
          <w:szCs w:val="12"/>
          <w:color w:val="auto"/>
        </w:rPr>
        <w:t>“Our strategic autoimmune expansion, as highlighted by the recent initiation of the CALiPSO-1 trial in Systemic Lupus Erythematosus and addition of a Lupus Nephritis-specific cohort, positions Century as a potential leader in allogeneic cell therapies for autoimmune diseases. 2024 remains a time of focused execution as we work to advance our next-generation allogeneic iPSC-derived cell therapy platform and pipeline, equipped with our proprietary Allo-Evasion™ technology, capturing a diversified opportunity to address a broad range of indications with high unmet need. I am proud of the significant progress we have achieved in such a short period of time, particularly underscored by the evolution of our platform and capabilities, which we anticipate will enable our iPSC candidates to have a more controlled, durable, and tolerable profile,” said Brent Pfeiffenberger, Pharm.D., Chief Executive Officer of Century Therapeutics. “We remain focused on progressing CNTY-101 in both of our clinical-stage programs, including advancement into dose expansion in the ELiPSE-1 trial in patients with r/r B-cell lymphomas and acceleration of patient enrollment following the recent initiation of the CALiPSO-1 trial. We’ve made strides in our initial execution of autoimmune expansion as evidenced by our CALiPSO-1 trial updates, while simultaneously pursuing additional regulatory filings for CNTY-101 in other autoimmune disease indications in the second half of the year. We look forward to continued execution and the opportunity to deliver on our next set of potential catalysts, including the expectation of initial clinical data from CALiPSO-1 by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4" w:name="page5"/>
    <w:bookmarkEnd w:id="4"/>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63040" cy="400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Research &amp; Development Highlights</w:t>
      </w:r>
    </w:p>
    <w:p>
      <w:pPr>
        <w:spacing w:after="0" w:line="154" w:lineRule="exact"/>
        <w:rPr>
          <w:sz w:val="20"/>
          <w:szCs w:val="20"/>
          <w:color w:val="auto"/>
        </w:rPr>
      </w:pPr>
    </w:p>
    <w:p>
      <w:pPr>
        <w:ind w:left="420" w:hanging="212"/>
        <w:spacing w:after="0" w:line="256"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Century’s autoimmune disease expansion efforts announced in April 2024, the Company recently initiated the Phase 1 CALiPSO-1 trial of CNTY-101 (NCT06255028) in Systemic Lupus Erythematosus (SLE). The first clinical trial site has been activated, with additional sites continuing to open across the United States. The Company expects initial clinical data from CALiPSO-1 by year-end 2024. Furthermore, Century recently amended the protocol to include a new indication-specific cohort of Lupus Nephritis (LN) patients. CALiPSO-1 is an open-label multi-center clinical trial to evaluate the safety, tolerability, pharmacokinetics, and clinical response of CNTY-101 in patients with moderate to severe SLE and LN who have failed at least two standard immunosuppressive therapies. The inclusion of LN patients highlights Century’s execution in pursuing additional regulatory filings as a way of accelerating and broadening its research and development initiatives in autoimmune diseases. The Company intends to submit additional regulatory filings for CNTY-101 in autoimmune disease indications with limited current treatment options and high unmet need in the second half of 2024.</w:t>
      </w:r>
    </w:p>
    <w:p>
      <w:pPr>
        <w:spacing w:after="0" w:line="124" w:lineRule="exact"/>
        <w:rPr>
          <w:rFonts w:ascii="Times New Roman" w:cs="Times New Roman" w:eastAsia="Times New Roman" w:hAnsi="Times New Roman"/>
          <w:sz w:val="12"/>
          <w:szCs w:val="12"/>
          <w:color w:val="auto"/>
        </w:rPr>
      </w:pPr>
    </w:p>
    <w:p>
      <w:pPr>
        <w:ind w:left="420" w:hanging="212"/>
        <w:spacing w:after="0" w:line="26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May 2024, Century presented two posters at the American Society of Gene and Cell Therapy (ASGCT) Annual Meeting showcasing the potential ability of its lead program, CNTY-101, a CD19 targeting allogeneic iNK cell therapy with 6 precision gene edits powered by Century’s Allo-Evasion™ technology, to treat B-Cell driven autoimmune diseases including SLE, and new preclinical data demonstrating the potential utility of using a novel synthetic ligand targeting CD300a as a universal strategy for preventing natural killer (NK) cell mediated rejection in allogeneic cell therapies. The Company believes that these capabilities demonstrate the potential protection of allogeneic cell therapies with the possibility for improved outcomes, while delivering a broadly beneficial treatment option across a range of indications.</w:t>
      </w:r>
    </w:p>
    <w:p>
      <w:pPr>
        <w:spacing w:after="0" w:line="122" w:lineRule="exact"/>
        <w:rPr>
          <w:rFonts w:ascii="Times New Roman" w:cs="Times New Roman" w:eastAsia="Times New Roman" w:hAnsi="Times New Roman"/>
          <w:sz w:val="12"/>
          <w:szCs w:val="12"/>
          <w:color w:val="auto"/>
        </w:rPr>
      </w:pPr>
    </w:p>
    <w:p>
      <w:pPr>
        <w:ind w:left="420" w:right="80" w:hanging="212"/>
        <w:spacing w:after="0" w:line="257"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June 2024, the Company presented encouraging interim efficacy and safety data from the ongoing Phase 1 ELiPSE-1, multicenter, open-label clinical trial of CNTY-101 (NCT05336409) in heavily pre-treated patients with R/R CD19-positive B-cell lymphomas at the American Society of Clinical Oncology (ASCO) Annual Meeting. Evaluable preliminary safety (n=12) and efficacy (n=10) as of the data cutoff date of March 27, 2024, from the ongoing dose escalation portion of the trial, demonstrated a manageable tolerability profile with no observed dose limiting toxicities (DLT) or graft-versus-host disease (GvHD). After rapidly trafficking out of circulation, pharmacokinetics (PK), evaluated by a novel cell-free DNA method, showed that CNTY-101 persistence outside the bloodstream trended with increases in dose. Data also showed additional responses across escalating doses and different types of B-cell malignancies in heavily pretreated patients with predominantly aggressive or high-risk histologies.</w:t>
      </w:r>
    </w:p>
    <w:p>
      <w:pPr>
        <w:spacing w:after="0" w:line="125" w:lineRule="exact"/>
        <w:rPr>
          <w:rFonts w:ascii="Times New Roman" w:cs="Times New Roman" w:eastAsia="Times New Roman" w:hAnsi="Times New Roman"/>
          <w:sz w:val="12"/>
          <w:szCs w:val="12"/>
          <w:color w:val="auto"/>
        </w:rPr>
      </w:pPr>
    </w:p>
    <w:p>
      <w:pPr>
        <w:ind w:left="420" w:right="6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recently completed dose escalation of schedule A (single dose per cycle) and schedule B (3 doses per cycle) in the ELiPSE-1 trial and is currently enrolling patients in the dose confirmation portion. Progression into dose expansion is expected in the second half of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Highlights</w:t>
      </w:r>
    </w:p>
    <w:p>
      <w:pPr>
        <w:spacing w:after="0" w:line="154" w:lineRule="exact"/>
        <w:rPr>
          <w:sz w:val="20"/>
          <w:szCs w:val="20"/>
          <w:color w:val="auto"/>
        </w:rPr>
      </w:pPr>
    </w:p>
    <w:p>
      <w:pPr>
        <w:ind w:left="420" w:right="20" w:hanging="212"/>
        <w:spacing w:after="0" w:line="27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2024, the Company completed a private placement of common stock with gross proceeds of $60 million with new and existing investors. Also in April 2024, the Company closed the acquisition of Clade Therapeutics, bringing enhancement of its Allo-Evasion™ platform and adding three preclinical stage αβ iT programs spanning across cancer and autoimmune diseases to its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5" w:name="page6"/>
    <w:bookmarkEnd w:id="5"/>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63040" cy="400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Second Quarter 2024 Financial Results</w:t>
      </w:r>
    </w:p>
    <w:p>
      <w:pPr>
        <w:spacing w:after="0" w:line="150" w:lineRule="exact"/>
        <w:rPr>
          <w:sz w:val="20"/>
          <w:szCs w:val="20"/>
          <w:color w:val="auto"/>
        </w:rPr>
      </w:pPr>
    </w:p>
    <w:p>
      <w:pPr>
        <w:ind w:left="420" w:right="20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$269.6 million as of June 30, 2024, as compared to $261.8 million as of December 31, 2023. Net cash used in operations was $57.6 million for the six</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ended June 30, 2024, compared to net cash used in operations of $48.5 million for the six months ended June 30, 2023.</w:t>
      </w:r>
    </w:p>
    <w:p>
      <w:pPr>
        <w:spacing w:after="0" w:line="103" w:lineRule="exact"/>
        <w:rPr>
          <w:rFonts w:ascii="Times New Roman" w:cs="Times New Roman" w:eastAsia="Times New Roman" w:hAnsi="Times New Roman"/>
          <w:sz w:val="12"/>
          <w:szCs w:val="12"/>
          <w:color w:val="auto"/>
        </w:rPr>
      </w:pPr>
    </w:p>
    <w:p>
      <w:pPr>
        <w:ind w:left="42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Collaboration Revenue: </w:t>
      </w:r>
      <w:r>
        <w:rPr>
          <w:rFonts w:ascii="Times New Roman" w:cs="Times New Roman" w:eastAsia="Times New Roman" w:hAnsi="Times New Roman"/>
          <w:sz w:val="12"/>
          <w:szCs w:val="12"/>
          <w:color w:val="auto"/>
        </w:rPr>
        <w:t>Collaboration revenue generated through the Company’s collaboration, option, and license agreement with Bristol-Myers Squibb was $0.8 million for the three months ended June 30, 2024, compared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$0.1 million for the same period in 2023.</w:t>
      </w:r>
    </w:p>
    <w:p>
      <w:pPr>
        <w:spacing w:after="0" w:line="121" w:lineRule="exact"/>
        <w:rPr>
          <w:rFonts w:ascii="Times New Roman" w:cs="Times New Roman" w:eastAsia="Times New Roman" w:hAnsi="Times New Roman"/>
          <w:sz w:val="12"/>
          <w:szCs w:val="12"/>
          <w:color w:val="auto"/>
        </w:rPr>
      </w:pPr>
    </w:p>
    <w:p>
      <w:pPr>
        <w:ind w:left="420" w:right="40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Research and Development (R&amp;D) expenses</w:t>
      </w:r>
      <w:r>
        <w:rPr>
          <w:rFonts w:ascii="Times New Roman" w:cs="Times New Roman" w:eastAsia="Times New Roman" w:hAnsi="Times New Roman"/>
          <w:sz w:val="12"/>
          <w:szCs w:val="12"/>
          <w:color w:val="auto"/>
        </w:rPr>
        <w:t>: R&amp;D expenses were $27.2 million for the three months ended June 30, 2024, compared to $22.7 million for the same period in 2023. The increase in R&amp;D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increased manufacturing activity for CNTY-101 and the acquisition of Clade Therapeutics.</w:t>
      </w:r>
    </w:p>
    <w:p>
      <w:pPr>
        <w:spacing w:after="0" w:line="10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General and Administrative (G&amp;A) expenses</w:t>
      </w:r>
      <w:r>
        <w:rPr>
          <w:rFonts w:ascii="Times New Roman" w:cs="Times New Roman" w:eastAsia="Times New Roman" w:hAnsi="Times New Roman"/>
          <w:sz w:val="12"/>
          <w:szCs w:val="12"/>
          <w:color w:val="auto"/>
        </w:rPr>
        <w:t>: G&amp;A expenses were $8.3 million for the three months ended June 30, 2024, compared to $8.2 million for the same period in 2023.</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Net loss was $31.2 million for the three months ended June 30, 2024, compared to $33.3 million for the three months ended June 30,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Guidance</w:t>
      </w:r>
    </w:p>
    <w:p>
      <w:pPr>
        <w:spacing w:after="0" w:line="154"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expects full year generally accepted accounting principles (GAAP) operating expenses to be between $150 million and $160 million.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estimates its cash, cash equivalents, and investments will support operations into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 xml:space="preserve">Century Therapeutics (NASDAQ: IPSC) is harnessing the power of adult stem cells to develop curative cell therapy products for cancer and autoimmune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disease care. For more information on Century Therapeutics please visit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6" w:name="page7"/>
    <w:bookmarkEnd w:id="6"/>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63040" cy="400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Century Therapeutics Forward-Looking Statement</w:t>
      </w:r>
    </w:p>
    <w:p>
      <w:pPr>
        <w:spacing w:after="0" w:line="1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and the initial safety and efficacy profiles of CNTY-101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successfully enroll the Phase 1 SLE and LN trial; the timing of and our ability to enter dose expansion of the Phase 1 R/R CD19-positive B-cell lymphomas trial;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 w:name="page8"/>
    <w:bookmarkEnd w:id="7"/>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63040" cy="400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&amp; Media 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Katja Buhrer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SVP, Head of Corporate Affairs and Strategy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katja.buhrer@centurytx.com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917-969-3438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Argot Partners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Julie Seidel/Noor Pahlavi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century@argotpartners.com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212-600-1902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8" w:name="page9"/>
    <w:bookmarkEnd w:id="8"/>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63040" cy="400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4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41,457</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47,324</w:t>
            </w: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Short-term investments</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154,945</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125,414</w:t>
            </w:r>
          </w:p>
        </w:tc>
      </w:tr>
      <w:tr>
        <w:trPr>
          <w:trHeight w:val="1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7,076</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4,256</w:t>
            </w: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203,478</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176,994</w:t>
            </w: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69,405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71,705</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28,570</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20,376</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73,226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89,096</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5,091</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33,300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2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3,376</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2,520</w:t>
            </w:r>
          </w:p>
        </w:tc>
      </w:tr>
      <w:tr>
        <w:trPr>
          <w:trHeight w:val="149"/>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416,446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3,358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2,741</w:t>
            </w: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11,445</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10,733</w:t>
            </w: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Long-term debt, current</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revenue, current</w:t>
            </w:r>
          </w:p>
        </w:tc>
        <w:tc>
          <w:tcPr>
            <w:tcW w:w="2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4,360</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4,372</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19,163</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17,846</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52,713</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46,658</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109,768</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111,381</w:t>
            </w:r>
          </w:p>
        </w:tc>
      </w:tr>
      <w:tr>
        <w:trPr>
          <w:trHeight w:val="1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liability</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9,312</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2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194,342</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175,941</w:t>
            </w:r>
          </w:p>
        </w:tc>
        <w:tc>
          <w:tcPr>
            <w:tcW w:w="12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2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937,445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840,407</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(715,040)</w:t>
            </w:r>
          </w:p>
        </w:tc>
        <w:tc>
          <w:tcPr>
            <w:tcW w:w="1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(655,771)</w:t>
            </w:r>
          </w:p>
        </w:tc>
      </w:tr>
      <w:tr>
        <w:trPr>
          <w:trHeight w:val="1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(309)</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108</w:t>
            </w: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2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222,104</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184,750</w:t>
            </w:r>
          </w:p>
        </w:tc>
        <w:tc>
          <w:tcPr>
            <w:tcW w:w="120" w:type="dxa"/>
            <w:vAlign w:val="bottom"/>
            <w:tcBorders>
              <w:bottom w:val="single" w:sz="8" w:color="CCEEFF"/>
            </w:tcBorders>
          </w:tcPr>
          <w:p>
            <w:pPr>
              <w:spacing w:after="0"/>
              <w:rPr>
                <w:sz w:val="11"/>
                <w:szCs w:val="11"/>
                <w:color w:val="auto"/>
              </w:rPr>
            </w:pPr>
          </w:p>
        </w:tc>
      </w:tr>
      <w:tr>
        <w:trPr>
          <w:trHeight w:val="149"/>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416,446</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463040" cy="400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6304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Impairment on long-lived assets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Total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income, net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Loss before provision for income taxes</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Unrealized (loss) gain on investments</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 gain (loss)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1"/>
          <w:szCs w:val="11"/>
          <w:b w:val="1"/>
          <w:bCs w:val="1"/>
          <w:color w:val="auto"/>
        </w:rPr>
        <w:t>(unaudited, in thousands, except share and per share amounts)</w:t>
      </w:r>
    </w:p>
    <w:p>
      <w:pPr>
        <w:spacing w:after="0" w:line="165" w:lineRule="exact"/>
        <w:rPr>
          <w:sz w:val="20"/>
          <w:szCs w:val="20"/>
          <w:color w:val="auto"/>
        </w:rPr>
      </w:pPr>
    </w:p>
    <w:tbl>
      <w:tblPr>
        <w:tblLayout w:type="fixed"/>
        <w:tblInd w:w="260"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168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13"/>
                <w:szCs w:val="13"/>
                <w:color w:val="auto"/>
              </w:rPr>
            </w:pPr>
          </w:p>
        </w:tc>
        <w:tc>
          <w:tcPr>
            <w:tcW w:w="166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3"/>
                <w:szCs w:val="13"/>
                <w:color w:val="auto"/>
              </w:rPr>
            </w:pPr>
          </w:p>
        </w:tc>
        <w:tc>
          <w:tcPr>
            <w:tcW w:w="1600" w:type="dxa"/>
            <w:vAlign w:val="bottom"/>
            <w:gridSpan w:val="2"/>
          </w:tcPr>
          <w:p>
            <w:pPr>
              <w:jc w:val="right"/>
              <w:ind w:right="478"/>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60" w:type="dxa"/>
            <w:vAlign w:val="bottom"/>
          </w:tcPr>
          <w:p>
            <w:pPr>
              <w:spacing w:after="0"/>
              <w:rPr>
                <w:sz w:val="13"/>
                <w:szCs w:val="13"/>
                <w:color w:val="auto"/>
              </w:rPr>
            </w:pPr>
          </w:p>
        </w:tc>
        <w:tc>
          <w:tcPr>
            <w:tcW w:w="1360" w:type="dxa"/>
            <w:vAlign w:val="bottom"/>
            <w:gridSpan w:val="4"/>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59"/>
        </w:trPr>
        <w:tc>
          <w:tcPr>
            <w:tcW w:w="140" w:type="dxa"/>
            <w:vAlign w:val="bottom"/>
          </w:tcPr>
          <w:p>
            <w:pPr>
              <w:spacing w:after="0"/>
              <w:rPr>
                <w:sz w:val="13"/>
                <w:szCs w:val="13"/>
                <w:color w:val="auto"/>
              </w:rPr>
            </w:pPr>
          </w:p>
        </w:tc>
        <w:tc>
          <w:tcPr>
            <w:tcW w:w="1680" w:type="dxa"/>
            <w:vAlign w:val="bottom"/>
            <w:gridSpan w:val="2"/>
          </w:tcPr>
          <w:p>
            <w:pPr>
              <w:jc w:val="right"/>
              <w:ind w:right="638"/>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60" w:type="dxa"/>
            <w:vAlign w:val="bottom"/>
          </w:tcPr>
          <w:p>
            <w:pPr>
              <w:spacing w:after="0"/>
              <w:rPr>
                <w:sz w:val="13"/>
                <w:szCs w:val="13"/>
                <w:color w:val="auto"/>
              </w:rPr>
            </w:pPr>
          </w:p>
        </w:tc>
        <w:tc>
          <w:tcPr>
            <w:tcW w:w="1660" w:type="dxa"/>
            <w:vAlign w:val="bottom"/>
            <w:gridSpan w:val="2"/>
          </w:tcPr>
          <w:p>
            <w:pPr>
              <w:jc w:val="right"/>
              <w:ind w:right="638"/>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80" w:type="dxa"/>
            <w:vAlign w:val="bottom"/>
          </w:tcPr>
          <w:p>
            <w:pPr>
              <w:spacing w:after="0"/>
              <w:rPr>
                <w:sz w:val="13"/>
                <w:szCs w:val="13"/>
                <w:color w:val="auto"/>
              </w:rPr>
            </w:pPr>
          </w:p>
        </w:tc>
        <w:tc>
          <w:tcPr>
            <w:tcW w:w="1600" w:type="dxa"/>
            <w:vAlign w:val="bottom"/>
            <w:gridSpan w:val="2"/>
          </w:tcPr>
          <w:p>
            <w:pPr>
              <w:jc w:val="right"/>
              <w:ind w:right="598"/>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60" w:type="dxa"/>
            <w:vAlign w:val="bottom"/>
          </w:tcPr>
          <w:p>
            <w:pPr>
              <w:spacing w:after="0"/>
              <w:rPr>
                <w:sz w:val="13"/>
                <w:szCs w:val="13"/>
                <w:color w:val="auto"/>
              </w:rPr>
            </w:pPr>
          </w:p>
        </w:tc>
        <w:tc>
          <w:tcPr>
            <w:tcW w:w="1360" w:type="dxa"/>
            <w:vAlign w:val="bottom"/>
            <w:gridSpan w:val="4"/>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June 30, 2023</w:t>
            </w:r>
          </w:p>
        </w:tc>
      </w:tr>
      <w:tr>
        <w:trPr>
          <w:trHeight w:val="144"/>
        </w:trPr>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1,625</w:t>
            </w:r>
          </w:p>
        </w:tc>
        <w:tc>
          <w:tcPr>
            <w:tcW w:w="200" w:type="dxa"/>
            <w:vAlign w:val="bottom"/>
          </w:tcPr>
          <w:p>
            <w:pPr>
              <w:spacing w:after="0"/>
              <w:rPr>
                <w:sz w:val="12"/>
                <w:szCs w:val="12"/>
                <w:color w:val="auto"/>
              </w:rPr>
            </w:pP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0"/>
        </w:trPr>
        <w:tc>
          <w:tcPr>
            <w:tcW w:w="140" w:type="dxa"/>
            <w:vAlign w:val="bottom"/>
          </w:tcPr>
          <w:p>
            <w:pPr>
              <w:spacing w:after="0"/>
              <w:rPr>
                <w:sz w:val="24"/>
                <w:szCs w:val="24"/>
                <w:color w:val="auto"/>
              </w:rPr>
            </w:pP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27,220</w:t>
            </w:r>
          </w:p>
        </w:tc>
        <w:tc>
          <w:tcPr>
            <w:tcW w:w="160" w:type="dxa"/>
            <w:vAlign w:val="bottom"/>
          </w:tcPr>
          <w:p>
            <w:pPr>
              <w:spacing w:after="0"/>
              <w:rPr>
                <w:sz w:val="24"/>
                <w:szCs w:val="24"/>
                <w:color w:val="auto"/>
              </w:rPr>
            </w:pPr>
          </w:p>
        </w:tc>
        <w:tc>
          <w:tcPr>
            <w:tcW w:w="1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22,727</w:t>
            </w:r>
          </w:p>
        </w:tc>
        <w:tc>
          <w:tcPr>
            <w:tcW w:w="180" w:type="dxa"/>
            <w:vAlign w:val="bottom"/>
          </w:tcPr>
          <w:p>
            <w:pPr>
              <w:spacing w:after="0"/>
              <w:rPr>
                <w:sz w:val="24"/>
                <w:szCs w:val="24"/>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50,641</w:t>
            </w: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47,626</w:t>
            </w:r>
          </w:p>
        </w:tc>
        <w:tc>
          <w:tcPr>
            <w:tcW w:w="20" w:type="dxa"/>
            <w:vAlign w:val="bottom"/>
          </w:tcPr>
          <w:p>
            <w:pPr>
              <w:spacing w:after="0"/>
              <w:rPr>
                <w:sz w:val="24"/>
                <w:szCs w:val="24"/>
                <w:color w:val="auto"/>
              </w:rPr>
            </w:pPr>
          </w:p>
        </w:tc>
      </w:tr>
      <w:tr>
        <w:trPr>
          <w:trHeight w:val="153"/>
        </w:trPr>
        <w:tc>
          <w:tcPr>
            <w:tcW w:w="140" w:type="dxa"/>
            <w:vAlign w:val="bottom"/>
          </w:tcPr>
          <w:p>
            <w:pPr>
              <w:spacing w:after="0"/>
              <w:rPr>
                <w:sz w:val="13"/>
                <w:szCs w:val="13"/>
                <w:color w:val="auto"/>
              </w:rPr>
            </w:pP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8,306</w:t>
            </w:r>
          </w:p>
        </w:tc>
        <w:tc>
          <w:tcPr>
            <w:tcW w:w="160" w:type="dxa"/>
            <w:vAlign w:val="bottom"/>
          </w:tcPr>
          <w:p>
            <w:pPr>
              <w:spacing w:after="0"/>
              <w:rPr>
                <w:sz w:val="13"/>
                <w:szCs w:val="13"/>
                <w:color w:val="auto"/>
              </w:rPr>
            </w:pPr>
          </w:p>
        </w:tc>
        <w:tc>
          <w:tcPr>
            <w:tcW w:w="1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8,229</w:t>
            </w:r>
          </w:p>
        </w:tc>
        <w:tc>
          <w:tcPr>
            <w:tcW w:w="180" w:type="dxa"/>
            <w:vAlign w:val="bottom"/>
          </w:tcPr>
          <w:p>
            <w:pPr>
              <w:spacing w:after="0"/>
              <w:rPr>
                <w:sz w:val="13"/>
                <w:szCs w:val="13"/>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17,052</w:t>
            </w:r>
          </w:p>
        </w:tc>
        <w:tc>
          <w:tcPr>
            <w:tcW w:w="160" w:type="dxa"/>
            <w:vAlign w:val="bottom"/>
          </w:tcPr>
          <w:p>
            <w:pPr>
              <w:spacing w:after="0"/>
              <w:rPr>
                <w:sz w:val="13"/>
                <w:szCs w:val="13"/>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17,131</w:t>
            </w:r>
          </w:p>
        </w:tc>
        <w:tc>
          <w:tcPr>
            <w:tcW w:w="2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4,220</w:t>
            </w:r>
          </w:p>
        </w:tc>
        <w:tc>
          <w:tcPr>
            <w:tcW w:w="180" w:type="dxa"/>
            <w:vAlign w:val="bottom"/>
          </w:tcPr>
          <w:p>
            <w:pPr>
              <w:spacing w:after="0"/>
              <w:rPr>
                <w:sz w:val="13"/>
                <w:szCs w:val="13"/>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14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35,526</w:t>
            </w: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35,176</w:t>
            </w: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67,693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68,977</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140" w:type="dxa"/>
            <w:vAlign w:val="bottom"/>
          </w:tcPr>
          <w:p>
            <w:pPr>
              <w:spacing w:after="0"/>
              <w:rPr>
                <w:sz w:val="24"/>
                <w:szCs w:val="24"/>
                <w:color w:val="auto"/>
              </w:rPr>
            </w:pPr>
          </w:p>
        </w:tc>
        <w:tc>
          <w:tcPr>
            <w:tcW w:w="1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(34,755)</w:t>
            </w:r>
          </w:p>
        </w:tc>
        <w:tc>
          <w:tcPr>
            <w:tcW w:w="160" w:type="dxa"/>
            <w:vAlign w:val="bottom"/>
          </w:tcPr>
          <w:p>
            <w:pPr>
              <w:spacing w:after="0"/>
              <w:rPr>
                <w:sz w:val="24"/>
                <w:szCs w:val="24"/>
                <w:color w:val="auto"/>
              </w:rPr>
            </w:pPr>
          </w:p>
        </w:tc>
        <w:tc>
          <w:tcPr>
            <w:tcW w:w="1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(35,077)</w:t>
            </w:r>
          </w:p>
        </w:tc>
        <w:tc>
          <w:tcPr>
            <w:tcW w:w="180" w:type="dxa"/>
            <w:vAlign w:val="bottom"/>
          </w:tcPr>
          <w:p>
            <w:pPr>
              <w:spacing w:after="0"/>
              <w:rPr>
                <w:sz w:val="24"/>
                <w:szCs w:val="24"/>
                <w:color w:val="auto"/>
              </w:rPr>
            </w:pPr>
          </w:p>
        </w:tc>
        <w:tc>
          <w:tcPr>
            <w:tcW w:w="160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(66,068)</w:t>
            </w:r>
          </w:p>
        </w:tc>
        <w:tc>
          <w:tcPr>
            <w:tcW w:w="16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(67,158)</w:t>
            </w:r>
          </w:p>
        </w:tc>
      </w:tr>
      <w:tr>
        <w:trPr>
          <w:trHeight w:val="277"/>
        </w:trPr>
        <w:tc>
          <w:tcPr>
            <w:tcW w:w="140" w:type="dxa"/>
            <w:vAlign w:val="bottom"/>
          </w:tcPr>
          <w:p>
            <w:pPr>
              <w:spacing w:after="0"/>
              <w:rPr>
                <w:sz w:val="24"/>
                <w:szCs w:val="24"/>
                <w:color w:val="auto"/>
              </w:rPr>
            </w:pP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(136)</w:t>
            </w:r>
          </w:p>
        </w:tc>
        <w:tc>
          <w:tcPr>
            <w:tcW w:w="180" w:type="dxa"/>
            <w:vAlign w:val="bottom"/>
          </w:tcPr>
          <w:p>
            <w:pPr>
              <w:spacing w:after="0"/>
              <w:rPr>
                <w:sz w:val="24"/>
                <w:szCs w:val="24"/>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(540)</w:t>
            </w:r>
          </w:p>
        </w:tc>
      </w:tr>
      <w:tr>
        <w:trPr>
          <w:trHeight w:val="144"/>
        </w:trPr>
        <w:tc>
          <w:tcPr>
            <w:tcW w:w="140" w:type="dxa"/>
            <w:vAlign w:val="bottom"/>
          </w:tcPr>
          <w:p>
            <w:pPr>
              <w:spacing w:after="0"/>
              <w:rPr>
                <w:sz w:val="12"/>
                <w:szCs w:val="12"/>
                <w:color w:val="auto"/>
              </w:rPr>
            </w:pP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3,582</w:t>
            </w:r>
          </w:p>
        </w:tc>
        <w:tc>
          <w:tcPr>
            <w:tcW w:w="160" w:type="dxa"/>
            <w:vAlign w:val="bottom"/>
          </w:tcPr>
          <w:p>
            <w:pPr>
              <w:spacing w:after="0"/>
              <w:rPr>
                <w:sz w:val="12"/>
                <w:szCs w:val="12"/>
                <w:color w:val="auto"/>
              </w:rPr>
            </w:pPr>
          </w:p>
        </w:tc>
        <w:tc>
          <w:tcPr>
            <w:tcW w:w="1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3,058</w:t>
            </w:r>
          </w:p>
        </w:tc>
        <w:tc>
          <w:tcPr>
            <w:tcW w:w="180" w:type="dxa"/>
            <w:vAlign w:val="bottom"/>
          </w:tcPr>
          <w:p>
            <w:pPr>
              <w:spacing w:after="0"/>
              <w:rPr>
                <w:sz w:val="12"/>
                <w:szCs w:val="12"/>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6,820</w:t>
            </w:r>
          </w:p>
        </w:tc>
        <w:tc>
          <w:tcPr>
            <w:tcW w:w="16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5,681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4"/>
        </w:trPr>
        <w:tc>
          <w:tcPr>
            <w:tcW w:w="140" w:type="dxa"/>
            <w:vAlign w:val="bottom"/>
          </w:tcPr>
          <w:p>
            <w:pPr>
              <w:spacing w:after="0"/>
              <w:rPr>
                <w:sz w:val="14"/>
                <w:szCs w:val="14"/>
                <w:color w:val="auto"/>
              </w:rPr>
            </w:pPr>
          </w:p>
        </w:tc>
        <w:tc>
          <w:tcPr>
            <w:tcW w:w="1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4"/>
                <w:szCs w:val="14"/>
                <w:color w:val="auto"/>
              </w:rPr>
            </w:pPr>
          </w:p>
        </w:tc>
        <w:tc>
          <w:tcPr>
            <w:tcW w:w="1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(186)</w:t>
            </w:r>
          </w:p>
        </w:tc>
        <w:tc>
          <w:tcPr>
            <w:tcW w:w="180" w:type="dxa"/>
            <w:vAlign w:val="bottom"/>
          </w:tcPr>
          <w:p>
            <w:pPr>
              <w:spacing w:after="0"/>
              <w:rPr>
                <w:sz w:val="14"/>
                <w:szCs w:val="14"/>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(380)</w:t>
            </w:r>
          </w:p>
        </w:tc>
      </w:tr>
      <w:tr>
        <w:trPr>
          <w:trHeight w:val="122"/>
        </w:trPr>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(31,185)</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(32,341)</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(59,247)</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(62,397)</w:t>
            </w:r>
          </w:p>
        </w:tc>
        <w:tc>
          <w:tcPr>
            <w:tcW w:w="60" w:type="dxa"/>
            <w:vAlign w:val="bottom"/>
            <w:gridSpan w:val="3"/>
          </w:tcPr>
          <w:p>
            <w:pPr>
              <w:spacing w:after="0"/>
              <w:rPr>
                <w:sz w:val="10"/>
                <w:szCs w:val="10"/>
                <w:color w:val="auto"/>
              </w:rPr>
            </w:pPr>
          </w:p>
        </w:tc>
      </w:tr>
      <w:tr>
        <w:trPr>
          <w:trHeight w:val="164"/>
        </w:trPr>
        <w:tc>
          <w:tcPr>
            <w:tcW w:w="140" w:type="dxa"/>
            <w:vAlign w:val="bottom"/>
          </w:tcPr>
          <w:p>
            <w:pPr>
              <w:spacing w:after="0"/>
              <w:rPr>
                <w:sz w:val="14"/>
                <w:szCs w:val="14"/>
                <w:color w:val="auto"/>
              </w:rPr>
            </w:pPr>
          </w:p>
        </w:tc>
        <w:tc>
          <w:tcPr>
            <w:tcW w:w="1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spacing w:after="0"/>
              <w:rPr>
                <w:sz w:val="14"/>
                <w:szCs w:val="14"/>
                <w:color w:val="auto"/>
              </w:rPr>
            </w:pPr>
          </w:p>
        </w:tc>
        <w:tc>
          <w:tcPr>
            <w:tcW w:w="16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(950)</w:t>
            </w:r>
          </w:p>
        </w:tc>
        <w:tc>
          <w:tcPr>
            <w:tcW w:w="180" w:type="dxa"/>
            <w:vAlign w:val="bottom"/>
          </w:tcPr>
          <w:p>
            <w:pPr>
              <w:spacing w:after="0"/>
              <w:rPr>
                <w:sz w:val="14"/>
                <w:szCs w:val="14"/>
                <w:color w:val="auto"/>
              </w:rPr>
            </w:pPr>
          </w:p>
        </w:tc>
        <w:tc>
          <w:tcPr>
            <w:tcW w:w="160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(22)</w:t>
            </w:r>
          </w:p>
        </w:tc>
        <w:tc>
          <w:tcPr>
            <w:tcW w:w="16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(2,158)</w:t>
            </w:r>
          </w:p>
        </w:tc>
      </w:tr>
      <w:tr>
        <w:trPr>
          <w:trHeight w:val="149"/>
        </w:trPr>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(31,207</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(33,291</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(59,269</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(64,555</w:t>
            </w:r>
          </w:p>
        </w:tc>
        <w:tc>
          <w:tcPr>
            <w:tcW w:w="20" w:type="dxa"/>
            <w:vAlign w:val="bottom"/>
            <w:tcBorders>
              <w:top w:val="single" w:sz="8" w:color="auto"/>
            </w:tcBorders>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86"/>
        </w:trPr>
        <w:tc>
          <w:tcPr>
            <w:tcW w:w="140" w:type="dxa"/>
            <w:vAlign w:val="bottom"/>
          </w:tcPr>
          <w:p>
            <w:pPr>
              <w:spacing w:after="0"/>
              <w:rPr>
                <w:sz w:val="24"/>
                <w:szCs w:val="24"/>
                <w:color w:val="auto"/>
              </w:rPr>
            </w:pPr>
          </w:p>
        </w:tc>
        <w:tc>
          <w:tcPr>
            <w:tcW w:w="16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(102)</w:t>
            </w:r>
          </w:p>
        </w:tc>
        <w:tc>
          <w:tcPr>
            <w:tcW w:w="160" w:type="dxa"/>
            <w:vAlign w:val="bottom"/>
          </w:tcPr>
          <w:p>
            <w:pPr>
              <w:spacing w:after="0"/>
              <w:rPr>
                <w:sz w:val="24"/>
                <w:szCs w:val="24"/>
                <w:color w:val="auto"/>
              </w:rPr>
            </w:pPr>
          </w:p>
        </w:tc>
        <w:tc>
          <w:tcPr>
            <w:tcW w:w="1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tcPr>
          <w:p>
            <w:pPr>
              <w:spacing w:after="0"/>
              <w:rPr>
                <w:sz w:val="24"/>
                <w:szCs w:val="24"/>
                <w:color w:val="auto"/>
              </w:rPr>
            </w:pPr>
          </w:p>
        </w:tc>
        <w:tc>
          <w:tcPr>
            <w:tcW w:w="160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(453)</w:t>
            </w:r>
          </w:p>
        </w:tc>
        <w:tc>
          <w:tcPr>
            <w:tcW w:w="16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140" w:type="dxa"/>
            <w:vAlign w:val="bottom"/>
          </w:tcPr>
          <w:p>
            <w:pPr>
              <w:spacing w:after="0"/>
              <w:rPr>
                <w:sz w:val="13"/>
                <w:szCs w:val="13"/>
                <w:color w:val="auto"/>
              </w:rPr>
            </w:pP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35</w:t>
            </w:r>
          </w:p>
        </w:tc>
        <w:tc>
          <w:tcPr>
            <w:tcW w:w="160" w:type="dxa"/>
            <w:vAlign w:val="bottom"/>
          </w:tcPr>
          <w:p>
            <w:pPr>
              <w:spacing w:after="0"/>
              <w:rPr>
                <w:sz w:val="13"/>
                <w:szCs w:val="13"/>
                <w:color w:val="auto"/>
              </w:rPr>
            </w:pPr>
          </w:p>
        </w:tc>
        <w:tc>
          <w:tcPr>
            <w:tcW w:w="1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Pr>
          <w:p>
            <w:pPr>
              <w:spacing w:after="0"/>
              <w:rPr>
                <w:sz w:val="13"/>
                <w:szCs w:val="13"/>
                <w:color w:val="auto"/>
              </w:rPr>
            </w:pPr>
          </w:p>
        </w:tc>
        <w:tc>
          <w:tcPr>
            <w:tcW w:w="160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36</w:t>
            </w:r>
          </w:p>
        </w:tc>
        <w:tc>
          <w:tcPr>
            <w:tcW w:w="160" w:type="dxa"/>
            <w:vAlign w:val="bottom"/>
          </w:tcPr>
          <w:p>
            <w:pPr>
              <w:spacing w:after="0"/>
              <w:rPr>
                <w:sz w:val="13"/>
                <w:szCs w:val="1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-1811020</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-1622425</wp:posOffset>
            </wp:positionV>
            <wp:extent cx="717804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-1439545</wp:posOffset>
            </wp:positionV>
            <wp:extent cx="717804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-1250950</wp:posOffset>
            </wp:positionV>
            <wp:extent cx="7178040"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-1056640</wp:posOffset>
            </wp:positionV>
            <wp:extent cx="717804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-873760</wp:posOffset>
            </wp:positionV>
            <wp:extent cx="7178040"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-690880</wp:posOffset>
            </wp:positionV>
            <wp:extent cx="7178040"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-496570</wp:posOffset>
            </wp:positionV>
            <wp:extent cx="7178040"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-290830</wp:posOffset>
            </wp:positionV>
            <wp:extent cx="717804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-96520</wp:posOffset>
            </wp:positionV>
            <wp:extent cx="7178040" cy="97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20" w:space="720"/>
            <w:col w:w="7260"/>
          </w:cols>
          <w:pgMar w:left="300" w:top="1440" w:right="299" w:bottom="1440" w:gutter="0" w:footer="0" w:header="0"/>
        </w:sectPr>
      </w:pPr>
    </w:p>
    <w:tbl>
      <w:tblPr>
        <w:tblLayout w:type="fixed"/>
        <w:tblInd w:w="0" w:type="dxa"/>
        <w:tblCellMar>
          <w:top w:w="0" w:type="dxa"/>
          <w:left w:w="0" w:type="dxa"/>
          <w:bottom w:w="0" w:type="dxa"/>
          <w:right w:w="0" w:type="dxa"/>
        </w:tblCellMar>
      </w:tblPr>
      <w:tr>
        <w:trPr>
          <w:trHeight w:val="14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560" w:type="dxa"/>
            <w:vAlign w:val="bottom"/>
            <w:tcBorders>
              <w:top w:val="single" w:sz="8" w:color="auto"/>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(31,274</w:t>
            </w:r>
          </w:p>
        </w:tc>
        <w:tc>
          <w:tcPr>
            <w:tcW w:w="240" w:type="dxa"/>
            <w:vAlign w:val="bottom"/>
            <w:tcBorders>
              <w:bottom w:val="single" w:sz="8" w:color="CCEEFF"/>
            </w:tcBorders>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Borders>
              <w:top w:val="single" w:sz="8" w:color="auto"/>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(33,223</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54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(59,686</w:t>
            </w:r>
          </w:p>
        </w:tc>
        <w:tc>
          <w:tcPr>
            <w:tcW w:w="20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(63,300</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4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common share - Basic and Diluted</w:t>
            </w:r>
          </w:p>
        </w:tc>
        <w:tc>
          <w:tcPr>
            <w:tcW w:w="560" w:type="dxa"/>
            <w:vAlign w:val="bottom"/>
          </w:tcPr>
          <w:p>
            <w:pPr>
              <w:spacing w:after="0"/>
              <w:rPr>
                <w:sz w:val="14"/>
                <w:szCs w:val="14"/>
                <w:color w:val="auto"/>
              </w:rPr>
            </w:pPr>
          </w:p>
        </w:tc>
        <w:tc>
          <w:tcPr>
            <w:tcW w:w="12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(0.38)</w:t>
            </w:r>
          </w:p>
        </w:tc>
        <w:tc>
          <w:tcPr>
            <w:tcW w:w="560" w:type="dxa"/>
            <w:vAlign w:val="bottom"/>
          </w:tcPr>
          <w:p>
            <w:pPr>
              <w:spacing w:after="0"/>
              <w:rPr>
                <w:sz w:val="14"/>
                <w:szCs w:val="14"/>
                <w:color w:val="auto"/>
              </w:rPr>
            </w:pPr>
          </w:p>
        </w:tc>
        <w:tc>
          <w:tcPr>
            <w:tcW w:w="126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(0.56)</w:t>
            </w:r>
          </w:p>
        </w:tc>
        <w:tc>
          <w:tcPr>
            <w:tcW w:w="540" w:type="dxa"/>
            <w:vAlign w:val="bottom"/>
          </w:tcPr>
          <w:p>
            <w:pPr>
              <w:spacing w:after="0"/>
              <w:rPr>
                <w:sz w:val="14"/>
                <w:szCs w:val="14"/>
                <w:color w:val="auto"/>
              </w:rPr>
            </w:pPr>
          </w:p>
        </w:tc>
        <w:tc>
          <w:tcPr>
            <w:tcW w:w="124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0.82</w:t>
            </w:r>
          </w:p>
        </w:tc>
        <w:tc>
          <w:tcPr>
            <w:tcW w:w="500" w:type="dxa"/>
            <w:vAlign w:val="bottom"/>
          </w:tcPr>
          <w:p>
            <w:pPr>
              <w:spacing w:after="0"/>
              <w:rPr>
                <w:sz w:val="14"/>
                <w:szCs w:val="14"/>
                <w:color w:val="auto"/>
              </w:rPr>
            </w:pPr>
          </w:p>
        </w:tc>
        <w:tc>
          <w:tcPr>
            <w:tcW w:w="10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(1.10)</w:t>
            </w:r>
          </w:p>
        </w:tc>
      </w:tr>
      <w:tr>
        <w:trPr>
          <w:trHeight w:val="144"/>
        </w:trPr>
        <w:tc>
          <w:tcPr>
            <w:tcW w:w="43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9"/>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560" w:type="dxa"/>
            <w:vAlign w:val="bottom"/>
          </w:tcPr>
          <w:p>
            <w:pPr>
              <w:spacing w:after="0"/>
              <w:rPr>
                <w:sz w:val="14"/>
                <w:szCs w:val="14"/>
                <w:color w:val="auto"/>
              </w:rPr>
            </w:pPr>
          </w:p>
        </w:tc>
        <w:tc>
          <w:tcPr>
            <w:tcW w:w="12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82,092,167</w:t>
            </w:r>
          </w:p>
        </w:tc>
        <w:tc>
          <w:tcPr>
            <w:tcW w:w="560" w:type="dxa"/>
            <w:vAlign w:val="bottom"/>
          </w:tcPr>
          <w:p>
            <w:pPr>
              <w:spacing w:after="0"/>
              <w:rPr>
                <w:sz w:val="14"/>
                <w:szCs w:val="14"/>
                <w:color w:val="auto"/>
              </w:rPr>
            </w:pPr>
          </w:p>
        </w:tc>
        <w:tc>
          <w:tcPr>
            <w:tcW w:w="12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59,251,363</w:t>
            </w:r>
          </w:p>
        </w:tc>
        <w:tc>
          <w:tcPr>
            <w:tcW w:w="540" w:type="dxa"/>
            <w:vAlign w:val="bottom"/>
          </w:tcPr>
          <w:p>
            <w:pPr>
              <w:spacing w:after="0"/>
              <w:rPr>
                <w:sz w:val="14"/>
                <w:szCs w:val="14"/>
                <w:color w:val="auto"/>
              </w:rPr>
            </w:pPr>
          </w:p>
        </w:tc>
        <w:tc>
          <w:tcPr>
            <w:tcW w:w="124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72,194,402</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58,904,726</w:t>
            </w:r>
          </w:p>
        </w:tc>
        <w:tc>
          <w:tcPr>
            <w:tcW w:w="120" w:type="dxa"/>
            <w:vAlign w:val="bottom"/>
          </w:tcPr>
          <w:p>
            <w:pPr>
              <w:spacing w:after="0"/>
              <w:rPr>
                <w:sz w:val="14"/>
                <w:szCs w:val="14"/>
                <w:color w:val="auto"/>
              </w:rPr>
            </w:pPr>
          </w:p>
        </w:tc>
      </w:tr>
      <w:tr>
        <w:trPr>
          <w:trHeight w:val="450"/>
        </w:trPr>
        <w:tc>
          <w:tcPr>
            <w:tcW w:w="430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type w:val="continuous"/>
        </w:sectPr>
      </w:pPr>
    </w:p>
    <w:bookmarkStart w:id="10" w:name="page11"/>
    <w:bookmarkEnd w:id="10"/>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4712335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endash "/>
      <w:numFmt w:val="bullet"/>
      <w:start w:val="1"/>
    </w:lvl>
    <w:lvl w:ilvl="1">
      <w:lvlJc w:val="left"/>
      <w:lvlText w:val="\endash "/>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2024-08-08T06:40:21Z</dcterms:created>
  <dcterms:modified xsi:type="dcterms:W3CDTF">2024-08-08T06:40:21Z</dcterms:modified>
</cp:coreProperties>
</file>