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118110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Century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99060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8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001-40498</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84-2040295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40" w:space="720"/>
            <w:col w:w="3300" w:space="720"/>
            <w:col w:w="2460"/>
          </w:cols>
          <w:pgMar w:left="320" w:top="706" w:right="339" w:bottom="1440" w:gutter="0" w:footer="0" w:header="0"/>
          <w:type w:val="continuous"/>
        </w:sectPr>
      </w:pPr>
    </w:p>
    <w:p>
      <w:pPr>
        <w:spacing w:after="0" w:line="18"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3675 Market Street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Philadelphia, Pennsylvania</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19104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6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Title of Each Class</w:t>
            </w:r>
          </w:p>
        </w:tc>
        <w:tc>
          <w:tcPr>
            <w:tcW w:w="300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99"/>
              </w:rPr>
              <w:t>IPSC</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83"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ind w:left="60"/>
        <w:spacing w:after="0"/>
        <w:tabs>
          <w:tab w:leader="none" w:pos="11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u w:val="single" w:color="auto"/>
          <w:color w:val="auto"/>
        </w:rPr>
        <w:t>Results of Operations and Financial Condition</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On November 10, 2021, Century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issued a press release announcing its financial results for the quarter ended September 30, 2021. A copy of the press release is furnished as Exhibit 99.1 to this Current Report on Form 8-K and is incorporated herein by reference.</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information contained in this Item 2.02 (including Exhibit 99.1) is being furnished and shall not be deemed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Item 9.01</w:t>
            </w:r>
          </w:p>
        </w:tc>
        <w:tc>
          <w:tcPr>
            <w:tcW w:w="60" w:type="dxa"/>
            <w:vAlign w:val="bottom"/>
          </w:tcPr>
          <w:p>
            <w:pPr>
              <w:spacing w:after="0"/>
              <w:rPr>
                <w:sz w:val="17"/>
                <w:szCs w:val="17"/>
                <w:color w:val="auto"/>
              </w:rPr>
            </w:pPr>
          </w:p>
        </w:tc>
        <w:tc>
          <w:tcPr>
            <w:tcW w:w="10040" w:type="dxa"/>
            <w:vAlign w:val="bottom"/>
            <w:gridSpan w:val="4"/>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1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34"/>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7400" w:type="dxa"/>
            <w:vAlign w:val="bottom"/>
            <w:tcBorders>
              <w:bottom w:val="single" w:sz="8" w:color="auto"/>
            </w:tcBorders>
            <w:gridSpan w:val="2"/>
          </w:tcPr>
          <w:p>
            <w:pPr>
              <w:ind w:left="2020"/>
              <w:spacing w:after="0"/>
              <w:rPr>
                <w:sz w:val="20"/>
                <w:szCs w:val="20"/>
                <w:color w:val="auto"/>
              </w:rPr>
            </w:pPr>
            <w:r>
              <w:rPr>
                <w:rFonts w:ascii="Arial" w:cs="Arial" w:eastAsia="Arial" w:hAnsi="Arial"/>
                <w:sz w:val="18"/>
                <w:szCs w:val="18"/>
                <w:b w:val="1"/>
                <w:bCs w:val="1"/>
                <w:color w:val="auto"/>
              </w:rPr>
              <w:t>Document</w:t>
            </w:r>
          </w:p>
        </w:tc>
      </w:tr>
      <w:tr>
        <w:trPr>
          <w:trHeight w:val="169"/>
        </w:trPr>
        <w:tc>
          <w:tcPr>
            <w:tcW w:w="1140" w:type="dxa"/>
            <w:vAlign w:val="bottom"/>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0" w:type="dxa"/>
            <w:vAlign w:val="bottom"/>
            <w:gridSpan w:val="3"/>
          </w:tcPr>
          <w:p>
            <w:pPr>
              <w:ind w:left="20"/>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of Century Therapeutics, Inc., dated November 10,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gridSpan w:val="2"/>
            <w:shd w:val="clear" w:color="auto" w:fill="0000EE"/>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Osvaldo Flores, Ph.D.</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Osvaldo Flores, Ph.D.</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rPr>
          <w:sz w:val="20"/>
          <w:szCs w:val="20"/>
          <w:color w:val="auto"/>
        </w:rPr>
      </w:pPr>
      <w:r>
        <w:rPr>
          <w:rFonts w:ascii="Arial" w:cs="Arial" w:eastAsia="Arial" w:hAnsi="Arial"/>
          <w:sz w:val="18"/>
          <w:szCs w:val="18"/>
          <w:color w:val="auto"/>
        </w:rPr>
        <w:t>Date: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288540" cy="651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85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Reports Third Quarter 2021 Financial Results and Provides Business Updates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Lead program, CNTY-101 in relapsed/refractory non-Hodgkin’s lymphoma, remains on track for IND filing in mid-2022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Pre-clinical data from CNTY-101 program and CAR-iT platform to be presented at the ASH Annual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Research and development update to be held on Thursday, December 16, 8:00-9:30 AM 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Made significant investment in building in-house manufacturing facility and new laboratory space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Ended third quarter with cash, cash equivalents, and marketable securities of $400.3M</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PHILADELPHIA, November 10, 2021 (GLOBE NEWSWIRE) -- </w:t>
      </w:r>
      <w:r>
        <w:rPr>
          <w:rFonts w:ascii="Arial" w:cs="Arial" w:eastAsia="Arial" w:hAnsi="Arial"/>
          <w:sz w:val="18"/>
          <w:szCs w:val="18"/>
          <w:u w:val="single" w:color="auto"/>
          <w:color w:val="auto"/>
        </w:rPr>
        <w:t>Century Therapeutics, Inc.</w:t>
      </w:r>
      <w:r>
        <w:rPr>
          <w:rFonts w:ascii="Arial" w:cs="Arial" w:eastAsia="Arial" w:hAnsi="Arial"/>
          <w:sz w:val="18"/>
          <w:szCs w:val="18"/>
          <w:color w:val="auto"/>
        </w:rPr>
        <w:t>, (NASDAQ: IPSC), an innovative biotechnology company developing induced pluripotent stem cell (iPSC)-derived cell therapies in immuno-oncology, today reported financial results and business highlights for the third quarter ended September 30, 2021.</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continue to deepen investments in cellular reprogramming, genetic engineering, and manufacturing, in order to advance our iPSC platforms, with an ultimate goal of developing therapies that can meaningfully advance cancer care,” said Lalo Flores, Chief Executive Officer, Century Therapeutics. “We are making tangible progress in advancing our lead candidate, CNTY-101, into the clinic, with our IND filing on track for mid-2022. Additionally, through our recently announced collaboration with Outpace Bio, we are further investing in new technologies as we execute on our vision of building a next-generation cell therapy platform. We expect to provide scientific updates on our programs later this year and at our upcoming virtual research and development update.”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229" w:lineRule="exact"/>
        <w:rPr>
          <w:sz w:val="20"/>
          <w:szCs w:val="20"/>
          <w:color w:val="auto"/>
        </w:rPr>
      </w:pPr>
    </w:p>
    <w:p>
      <w:pPr>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Entered into a research collaboration agreement with Outpace Bio to explore Outpace’s protein solutions for cell therapy to potentially enhance the functionality of Century’s iPSC platform. The collaboration’s initial program will focus on hematological malignancies with an option to expand to additional candidates.</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Included in the small-cap Russell 2000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Index as a part of the 3Q21 Russell Indexes IPO additions.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Milestones</w:t>
      </w:r>
    </w:p>
    <w:p>
      <w:pPr>
        <w:spacing w:after="0" w:line="229" w:lineRule="exact"/>
        <w:rPr>
          <w:sz w:val="20"/>
          <w:szCs w:val="20"/>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Pre-clinical data from the Company’s CNTY-101 program and CAR-iT platform to be presented in two posters at the upcoming American Society of Hematology (ASH) Annual Meeting and Exposition on December 11-14, 2021 in Atlanta, Georgia, and virtually.</w:t>
      </w:r>
    </w:p>
    <w:p>
      <w:pPr>
        <w:spacing w:after="0" w:line="197"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Virtual research and development update to be held on Thursday, December 16, 2021 from 8:00-9:30 AM EST. Century’s management team will discuss an update on the Company’s iPSC technology platform and pipeline. Eduardo Sotomayor, M.D., Director of the Cancer Institute at Tampa General Hospital, will discuss the current treatment paradigm for B-cell malignancies. For additional information on how to access the event, please visit the </w:t>
      </w:r>
      <w:r>
        <w:rPr>
          <w:rFonts w:ascii="Arial" w:cs="Arial" w:eastAsia="Arial" w:hAnsi="Arial"/>
          <w:sz w:val="18"/>
          <w:szCs w:val="18"/>
          <w:u w:val="single" w:color="auto"/>
          <w:color w:val="auto"/>
        </w:rPr>
        <w:t>Events &amp; Presentations</w:t>
      </w:r>
      <w:r>
        <w:rPr>
          <w:rFonts w:ascii="Arial" w:cs="Arial" w:eastAsia="Arial" w:hAnsi="Arial"/>
          <w:sz w:val="18"/>
          <w:szCs w:val="18"/>
          <w:color w:val="auto"/>
        </w:rPr>
        <w:t xml:space="preserve"> section of Century’s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228854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2885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Good Manufacturing Practice (cGMP) manufacturing facility expected to be operational in early 2022.</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CNTY-101 IND filing remains on track for mid-2022.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Results</w:t>
      </w:r>
    </w:p>
    <w:p>
      <w:pPr>
        <w:spacing w:after="0" w:line="225" w:lineRule="exact"/>
        <w:rPr>
          <w:sz w:val="20"/>
          <w:szCs w:val="20"/>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Cash, cash equivalents, and marketable securities were $400.3 million as of September 30, 2021, as compared to $440.0 million as</w:t>
      </w:r>
      <w:r>
        <w:rPr>
          <w:rFonts w:ascii="Arial" w:cs="Arial" w:eastAsia="Arial" w:hAnsi="Arial"/>
          <w:sz w:val="18"/>
          <w:szCs w:val="18"/>
          <w:b w:val="1"/>
          <w:bCs w:val="1"/>
          <w:color w:val="auto"/>
        </w:rPr>
        <w:t xml:space="preserve"> </w:t>
      </w:r>
      <w:r>
        <w:rPr>
          <w:rFonts w:ascii="Arial" w:cs="Arial" w:eastAsia="Arial" w:hAnsi="Arial"/>
          <w:sz w:val="18"/>
          <w:szCs w:val="18"/>
          <w:color w:val="auto"/>
        </w:rPr>
        <w:t>of June 30, 2021.</w:t>
      </w:r>
    </w:p>
    <w:p>
      <w:pPr>
        <w:spacing w:after="0" w:line="188" w:lineRule="exact"/>
        <w:rPr>
          <w:rFonts w:ascii="Arial" w:cs="Arial" w:eastAsia="Arial" w:hAnsi="Arial"/>
          <w:sz w:val="18"/>
          <w:szCs w:val="18"/>
          <w:color w:val="auto"/>
        </w:rPr>
      </w:pPr>
    </w:p>
    <w:p>
      <w:pPr>
        <w:ind w:left="660" w:right="14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Research and Development (R&amp;D) expenses</w:t>
      </w:r>
      <w:r>
        <w:rPr>
          <w:rFonts w:ascii="Arial" w:cs="Arial" w:eastAsia="Arial" w:hAnsi="Arial"/>
          <w:sz w:val="18"/>
          <w:szCs w:val="18"/>
          <w:color w:val="auto"/>
        </w:rPr>
        <w:t>: R&amp;D expenses were $19.5 million for the three months ended September 30, 2021,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$10.8 million for the same period in 2020. The increase in R&amp;D expenses was primarily due to an increase in personnel expenses related to increased headcount to expand the Company’s research and development capabilities, costs for preclinical studies, costs for laboratory supplies, and facility costs.</w:t>
      </w:r>
    </w:p>
    <w:p>
      <w:pPr>
        <w:spacing w:after="0" w:line="179" w:lineRule="exact"/>
        <w:rPr>
          <w:rFonts w:ascii="Arial" w:cs="Arial" w:eastAsia="Arial" w:hAnsi="Arial"/>
          <w:sz w:val="18"/>
          <w:szCs w:val="18"/>
          <w:color w:val="auto"/>
        </w:rPr>
      </w:pPr>
    </w:p>
    <w:p>
      <w:pPr>
        <w:ind w:left="660" w:right="1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General and Administrative (G&amp;A) expenses</w:t>
      </w:r>
      <w:r>
        <w:rPr>
          <w:rFonts w:ascii="Arial" w:cs="Arial" w:eastAsia="Arial" w:hAnsi="Arial"/>
          <w:sz w:val="18"/>
          <w:szCs w:val="18"/>
          <w:color w:val="auto"/>
        </w:rPr>
        <w:t>: G&amp;A expenses were $6.3 million for the three months ended September 30, 2021,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$2.3 million for the same period in 2020. The increase was primarily due to an increase in personnel related expense due to an increase in employee headcount and an increase in the Company’s professional fees as a result of expanded operations to support the Company’s infrastructure as well as additional costs to operate as a public company.</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Net loss</w:t>
      </w:r>
      <w:r>
        <w:rPr>
          <w:rFonts w:ascii="Arial" w:cs="Arial" w:eastAsia="Arial" w:hAnsi="Arial"/>
          <w:sz w:val="16"/>
          <w:szCs w:val="16"/>
          <w:color w:val="auto"/>
        </w:rPr>
        <w:t>: Net loss was $26.0 million for the three months ended September 30, 2021, compared to $13.1 million for the same period in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Century Therapeutics</w:t>
      </w:r>
    </w:p>
    <w:p>
      <w:pPr>
        <w:spacing w:after="0" w:line="22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 xml:space="preserve">Century Therapeutics, Inc. (NASDAQ: IPSC) is harnessing the power of adult stem cells to develop curative cell therapy products for cancer that we believe will allow us to overcome the limitations of first-generation cell therapies. Our genetically engineered, iPSC-derived iNK and iT cell product candidates are designed to specifically target hematologic and solid tumor cancers.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care. For more information on Century Therapeutics please visit </w:t>
      </w:r>
      <w:r>
        <w:rPr>
          <w:rFonts w:ascii="Arial" w:cs="Arial" w:eastAsia="Arial" w:hAnsi="Arial"/>
          <w:sz w:val="18"/>
          <w:szCs w:val="18"/>
          <w:u w:val="single" w:color="auto"/>
          <w:color w:val="auto"/>
        </w:rPr>
        <w:t>https://www.centurytx.com/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88540" cy="65151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cash and financial resources, our clinical development plans, and the development of our U.S. manufacturing facility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presentation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the COVID-19 pandemic on our business and operations; the performance of third parties in connection with the development of our product candidates, including third parties conducting our future clinical trials as well as third-party suppliers and manufacturers; our ability to successfully commercialize our product candidates and develop sales and marketing capabilities, if our product candidates are approved;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Company: Elizabeth Krutoholow – </w:t>
      </w:r>
      <w:r>
        <w:rPr>
          <w:rFonts w:ascii="Arial" w:cs="Arial" w:eastAsia="Arial" w:hAnsi="Arial"/>
          <w:sz w:val="18"/>
          <w:szCs w:val="18"/>
          <w:u w:val="single" w:color="auto"/>
          <w:color w:val="auto"/>
        </w:rPr>
        <w:t>investor.relations@centurytx.com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Investors: Melissa Forst/Maghan Meyers – </w:t>
      </w:r>
      <w:r>
        <w:rPr>
          <w:rFonts w:ascii="Arial" w:cs="Arial" w:eastAsia="Arial" w:hAnsi="Arial"/>
          <w:sz w:val="18"/>
          <w:szCs w:val="18"/>
          <w:u w:val="single" w:color="auto"/>
          <w:color w:val="auto"/>
        </w:rPr>
        <w:t>century@argotpartners.com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Media: Joshua R. Mansbach – </w:t>
      </w:r>
      <w:r>
        <w:rPr>
          <w:rFonts w:ascii="Arial" w:cs="Arial" w:eastAsia="Arial" w:hAnsi="Arial"/>
          <w:sz w:val="18"/>
          <w:szCs w:val="18"/>
          <w:u w:val="single" w:color="auto"/>
          <w:color w:val="auto"/>
        </w:rPr>
        <w:t>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651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288540" cy="65151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ind w:left="4900"/>
              <w:spacing w:after="0"/>
              <w:rPr>
                <w:sz w:val="20"/>
                <w:szCs w:val="20"/>
                <w:color w:val="auto"/>
              </w:rPr>
            </w:pPr>
            <w:r>
              <w:rPr>
                <w:rFonts w:ascii="Arial" w:cs="Arial" w:eastAsia="Arial" w:hAnsi="Arial"/>
                <w:sz w:val="18"/>
                <w:szCs w:val="18"/>
                <w:b w:val="1"/>
                <w:bCs w:val="1"/>
                <w:color w:val="auto"/>
              </w:rPr>
              <w:t>(in thousands)</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2"/>
        </w:trPr>
        <w:tc>
          <w:tcPr>
            <w:tcW w:w="7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7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Current assets: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101,292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27,211</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193,860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48,542</w:t>
            </w:r>
          </w:p>
        </w:tc>
      </w:tr>
      <w:tr>
        <w:trPr>
          <w:trHeight w:val="229"/>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3,044</w:t>
            </w:r>
          </w:p>
        </w:tc>
      </w:tr>
      <w:tr>
        <w:trPr>
          <w:trHeight w:val="210"/>
        </w:trPr>
        <w:tc>
          <w:tcPr>
            <w:tcW w:w="7220" w:type="dxa"/>
            <w:vAlign w:val="bottom"/>
          </w:tcPr>
          <w:p>
            <w:pPr>
              <w:spacing w:after="0"/>
              <w:rPr>
                <w:sz w:val="20"/>
                <w:szCs w:val="20"/>
                <w:color w:val="auto"/>
              </w:rPr>
            </w:pPr>
            <w:r>
              <w:rPr>
                <w:rFonts w:ascii="Arial" w:cs="Arial" w:eastAsia="Arial" w:hAnsi="Arial"/>
                <w:sz w:val="18"/>
                <w:szCs w:val="18"/>
                <w:color w:val="auto"/>
              </w:rPr>
              <w:t>Total current assets</w:t>
            </w:r>
          </w:p>
        </w:tc>
        <w:tc>
          <w:tcPr>
            <w:tcW w:w="1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300,398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78,797</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15,385</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Operating lease right-of-use asset, net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12,037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9,392</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1,053</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Other long-term assets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3,471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2,149</w:t>
            </w:r>
          </w:p>
        </w:tc>
      </w:tr>
      <w:tr>
        <w:trPr>
          <w:trHeight w:val="209"/>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469,725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106,776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220" w:type="dxa"/>
            <w:vAlign w:val="bottom"/>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11,644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8,082</w:t>
            </w:r>
          </w:p>
        </w:tc>
      </w:tr>
      <w:tr>
        <w:trPr>
          <w:trHeight w:val="230"/>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4,030</w:t>
            </w:r>
          </w:p>
        </w:tc>
      </w:tr>
      <w:tr>
        <w:trPr>
          <w:trHeight w:val="210"/>
        </w:trPr>
        <w:tc>
          <w:tcPr>
            <w:tcW w:w="72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12,112</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11,679</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Long-term debt, net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9,865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9,636</w:t>
            </w:r>
          </w:p>
        </w:tc>
      </w:tr>
      <w:tr>
        <w:trPr>
          <w:trHeight w:val="229"/>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46,737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33,427</w:t>
            </w:r>
          </w:p>
        </w:tc>
        <w:tc>
          <w:tcPr>
            <w:tcW w:w="100" w:type="dxa"/>
            <w:vAlign w:val="bottom"/>
            <w:tcBorders>
              <w:bottom w:val="single" w:sz="8" w:color="CCEEFF"/>
            </w:tcBorders>
          </w:tcPr>
          <w:p>
            <w:pPr>
              <w:spacing w:after="0"/>
              <w:rPr>
                <w:sz w:val="18"/>
                <w:szCs w:val="18"/>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Non-cumulative convertible preferred stock</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179,761</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Stockholders' equity:</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783,018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217,832</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(31,900)</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Accumulated deficit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(359,972)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(292,342)</w:t>
            </w:r>
          </w:p>
        </w:tc>
      </w:tr>
      <w:tr>
        <w:trPr>
          <w:trHeight w:val="229"/>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422,988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(106,412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469,725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106,776</w:t>
            </w:r>
          </w:p>
        </w:tc>
        <w:tc>
          <w:tcPr>
            <w:tcW w:w="100" w:type="dxa"/>
            <w:vAlign w:val="bottom"/>
            <w:shd w:val="clear" w:color="auto" w:fill="CCEEFF"/>
          </w:tcPr>
          <w:p>
            <w:pPr>
              <w:spacing w:after="0"/>
              <w:rPr>
                <w:sz w:val="18"/>
                <w:szCs w:val="18"/>
                <w:color w:val="auto"/>
              </w:rPr>
            </w:pPr>
          </w:p>
        </w:tc>
      </w:tr>
      <w:tr>
        <w:trPr>
          <w:trHeight w:val="668"/>
        </w:trPr>
        <w:tc>
          <w:tcPr>
            <w:tcW w:w="7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651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88540" cy="651510"/>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9"/>
          </w:tcPr>
          <w:p>
            <w:pPr>
              <w:ind w:left="3520"/>
              <w:spacing w:after="0"/>
              <w:rPr>
                <w:sz w:val="20"/>
                <w:szCs w:val="20"/>
                <w:color w:val="auto"/>
              </w:rPr>
            </w:pPr>
            <w:r>
              <w:rPr>
                <w:rFonts w:ascii="Arial" w:cs="Arial" w:eastAsia="Arial" w:hAnsi="Arial"/>
                <w:sz w:val="18"/>
                <w:szCs w:val="18"/>
                <w:b w:val="1"/>
                <w:bCs w:val="1"/>
                <w:color w:val="auto"/>
                <w:w w:val="94"/>
              </w:rPr>
              <w:t>(in thousands, except share and per share amounts)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4060" w:type="dxa"/>
            <w:vAlign w:val="bottom"/>
          </w:tcPr>
          <w:p>
            <w:pPr>
              <w:spacing w:after="0"/>
              <w:rPr>
                <w:sz w:val="24"/>
                <w:szCs w:val="24"/>
                <w:color w:val="auto"/>
              </w:rPr>
            </w:pPr>
          </w:p>
        </w:tc>
        <w:tc>
          <w:tcPr>
            <w:tcW w:w="1880" w:type="dxa"/>
            <w:vAlign w:val="bottom"/>
            <w:gridSpan w:val="4"/>
          </w:tcPr>
          <w:p>
            <w:pPr>
              <w:ind w:left="120"/>
              <w:spacing w:after="0"/>
              <w:rPr>
                <w:sz w:val="20"/>
                <w:szCs w:val="20"/>
                <w:color w:val="auto"/>
              </w:rPr>
            </w:pPr>
            <w:r>
              <w:rPr>
                <w:rFonts w:ascii="Arial" w:cs="Arial" w:eastAsia="Arial" w:hAnsi="Arial"/>
                <w:sz w:val="18"/>
                <w:szCs w:val="18"/>
                <w:b w:val="1"/>
                <w:bCs w:val="1"/>
                <w:color w:val="auto"/>
                <w:w w:val="97"/>
              </w:rPr>
              <w:t>Three Months Ended</w:t>
            </w:r>
          </w:p>
        </w:tc>
        <w:tc>
          <w:tcPr>
            <w:tcW w:w="184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Three Months Ended</w:t>
            </w:r>
          </w:p>
        </w:tc>
        <w:tc>
          <w:tcPr>
            <w:tcW w:w="1820" w:type="dxa"/>
            <w:vAlign w:val="bottom"/>
            <w:gridSpan w:val="4"/>
          </w:tcPr>
          <w:p>
            <w:pPr>
              <w:jc w:val="center"/>
              <w:ind w:right="41"/>
              <w:spacing w:after="0"/>
              <w:rPr>
                <w:sz w:val="20"/>
                <w:szCs w:val="20"/>
                <w:color w:val="auto"/>
              </w:rPr>
            </w:pPr>
            <w:r>
              <w:rPr>
                <w:rFonts w:ascii="Arial" w:cs="Arial" w:eastAsia="Arial" w:hAnsi="Arial"/>
                <w:sz w:val="18"/>
                <w:szCs w:val="18"/>
                <w:b w:val="1"/>
                <w:bCs w:val="1"/>
                <w:color w:val="auto"/>
                <w:w w:val="91"/>
              </w:rPr>
              <w:t>Nine Months Ended</w:t>
            </w:r>
          </w:p>
        </w:tc>
        <w:tc>
          <w:tcPr>
            <w:tcW w:w="1640" w:type="dxa"/>
            <w:vAlign w:val="bottom"/>
            <w:gridSpan w:val="4"/>
          </w:tcPr>
          <w:p>
            <w:pPr>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jc w:val="right"/>
              <w:ind w:right="121"/>
              <w:spacing w:after="0"/>
              <w:rPr>
                <w:sz w:val="20"/>
                <w:szCs w:val="20"/>
                <w:color w:val="auto"/>
              </w:rPr>
            </w:pPr>
            <w:r>
              <w:rPr>
                <w:rFonts w:ascii="Arial" w:cs="Arial" w:eastAsia="Arial" w:hAnsi="Arial"/>
                <w:sz w:val="18"/>
                <w:szCs w:val="18"/>
                <w:b w:val="1"/>
                <w:bCs w:val="1"/>
                <w:color w:val="auto"/>
                <w:w w:val="91"/>
              </w:rPr>
              <w:t>September 30, 2021</w:t>
            </w:r>
          </w:p>
        </w:tc>
        <w:tc>
          <w:tcPr>
            <w:tcW w:w="80" w:type="dxa"/>
            <w:vAlign w:val="bottom"/>
          </w:tcPr>
          <w:p>
            <w:pPr>
              <w:spacing w:after="0"/>
              <w:rPr>
                <w:sz w:val="19"/>
                <w:szCs w:val="19"/>
                <w:color w:val="auto"/>
              </w:rPr>
            </w:pPr>
          </w:p>
        </w:tc>
        <w:tc>
          <w:tcPr>
            <w:tcW w:w="1760" w:type="dxa"/>
            <w:vAlign w:val="bottom"/>
            <w:gridSpan w:val="3"/>
          </w:tcPr>
          <w:p>
            <w:pPr>
              <w:jc w:val="right"/>
              <w:ind w:right="121"/>
              <w:spacing w:after="0"/>
              <w:rPr>
                <w:sz w:val="20"/>
                <w:szCs w:val="20"/>
                <w:color w:val="auto"/>
              </w:rPr>
            </w:pPr>
            <w:r>
              <w:rPr>
                <w:rFonts w:ascii="Arial" w:cs="Arial" w:eastAsia="Arial" w:hAnsi="Arial"/>
                <w:sz w:val="18"/>
                <w:szCs w:val="18"/>
                <w:b w:val="1"/>
                <w:bCs w:val="1"/>
                <w:color w:val="auto"/>
                <w:w w:val="91"/>
              </w:rPr>
              <w:t>September 30, 2020</w:t>
            </w:r>
          </w:p>
        </w:tc>
        <w:tc>
          <w:tcPr>
            <w:tcW w:w="80" w:type="dxa"/>
            <w:vAlign w:val="bottom"/>
          </w:tcPr>
          <w:p>
            <w:pPr>
              <w:spacing w:after="0"/>
              <w:rPr>
                <w:sz w:val="19"/>
                <w:szCs w:val="19"/>
                <w:color w:val="auto"/>
              </w:rPr>
            </w:pPr>
          </w:p>
        </w:tc>
        <w:tc>
          <w:tcPr>
            <w:tcW w:w="17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September 30, 2021</w:t>
            </w:r>
          </w:p>
        </w:tc>
        <w:tc>
          <w:tcPr>
            <w:tcW w:w="164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September 30, 2020</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1"/>
              <w:spacing w:after="0"/>
              <w:rPr>
                <w:sz w:val="20"/>
                <w:szCs w:val="20"/>
                <w:color w:val="auto"/>
              </w:rPr>
            </w:pPr>
            <w:r>
              <w:rPr>
                <w:rFonts w:ascii="Arial" w:cs="Arial" w:eastAsia="Arial" w:hAnsi="Arial"/>
                <w:sz w:val="18"/>
                <w:szCs w:val="18"/>
                <w:color w:val="auto"/>
              </w:rPr>
              <w:t>19,545</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1"/>
              <w:spacing w:after="0"/>
              <w:rPr>
                <w:sz w:val="20"/>
                <w:szCs w:val="20"/>
                <w:color w:val="auto"/>
              </w:rPr>
            </w:pPr>
            <w:r>
              <w:rPr>
                <w:rFonts w:ascii="Arial" w:cs="Arial" w:eastAsia="Arial" w:hAnsi="Arial"/>
                <w:sz w:val="18"/>
                <w:szCs w:val="18"/>
                <w:color w:val="auto"/>
              </w:rPr>
              <w:t>10,812</w:t>
            </w:r>
          </w:p>
        </w:tc>
        <w:tc>
          <w:tcPr>
            <w:tcW w:w="2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1"/>
              <w:spacing w:after="0"/>
              <w:rPr>
                <w:sz w:val="20"/>
                <w:szCs w:val="20"/>
                <w:color w:val="auto"/>
              </w:rPr>
            </w:pPr>
            <w:r>
              <w:rPr>
                <w:rFonts w:ascii="Arial" w:cs="Arial" w:eastAsia="Arial" w:hAnsi="Arial"/>
                <w:sz w:val="18"/>
                <w:szCs w:val="18"/>
                <w:color w:val="auto"/>
              </w:rPr>
              <w:t>53,852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27,239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13,058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w w:val="91"/>
              </w:rPr>
              <w:t>Write off of in-process research and development asset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4,722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(25,827)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(66,910)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(38,640)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(954)</w:t>
            </w: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41"/>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61"/>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21"/>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9"/>
                <w:szCs w:val="19"/>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(67,630)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Unrealized (loss) gain on investments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61"/>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(26,069</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(13,151</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(67,690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40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Net loss per common share - Basic and Diluted</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54,472,650</w:t>
            </w:r>
          </w:p>
        </w:tc>
        <w:tc>
          <w:tcPr>
            <w:tcW w:w="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7,481,861</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24,838,250</w:t>
            </w:r>
          </w:p>
        </w:tc>
        <w:tc>
          <w:tcPr>
            <w:tcW w:w="2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7,481,861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4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2021-11-10T06:41:56Z</dcterms:created>
  <dcterms:modified xsi:type="dcterms:W3CDTF">2021-11-10T06:41:56Z</dcterms:modified>
</cp:coreProperties>
</file>