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243205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5"/>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63" w:lineRule="exact"/>
        <w:rPr>
          <w:sz w:val="24"/>
          <w:szCs w:val="24"/>
          <w:color w:val="auto"/>
        </w:rPr>
      </w:pPr>
    </w:p>
    <w:p>
      <w:pPr>
        <w:jc w:val="center"/>
        <w:ind w:right="15"/>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102235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91"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Date of Report (Date of earliest event reported): August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103505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7" w:lineRule="exact"/>
        <w:rPr>
          <w:sz w:val="24"/>
          <w:szCs w:val="24"/>
          <w:color w:val="auto"/>
        </w:rPr>
      </w:pPr>
    </w:p>
    <w:p>
      <w:pPr>
        <w:jc w:val="center"/>
        <w:ind w:right="15"/>
        <w:spacing w:after="0"/>
        <w:rPr>
          <w:sz w:val="20"/>
          <w:szCs w:val="20"/>
          <w:color w:val="auto"/>
        </w:rPr>
      </w:pPr>
      <w:r>
        <w:rPr>
          <w:rFonts w:ascii="Arial" w:cs="Arial" w:eastAsia="Arial" w:hAnsi="Arial"/>
          <w:sz w:val="22"/>
          <w:szCs w:val="22"/>
          <w:b w:val="1"/>
          <w:bCs w:val="1"/>
          <w:color w:val="auto"/>
        </w:rPr>
        <w:t>Century Therapeutics, Inc.</w:t>
      </w:r>
    </w:p>
    <w:p>
      <w:pPr>
        <w:spacing w:after="0" w:line="19" w:lineRule="exact"/>
        <w:rPr>
          <w:sz w:val="24"/>
          <w:szCs w:val="24"/>
          <w:color w:val="auto"/>
        </w:rPr>
      </w:pPr>
    </w:p>
    <w:p>
      <w:pPr>
        <w:jc w:val="center"/>
        <w:ind w:right="15"/>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08" w:right="299" w:bottom="1440" w:gutter="0" w:footer="0" w:header="0"/>
        </w:sectPr>
      </w:pPr>
    </w:p>
    <w:p>
      <w:pPr>
        <w:spacing w:after="0" w:line="298" w:lineRule="exact"/>
        <w:rPr>
          <w:sz w:val="24"/>
          <w:szCs w:val="24"/>
          <w:color w:val="auto"/>
        </w:rPr>
      </w:pPr>
    </w:p>
    <w:p>
      <w:pPr>
        <w:ind w:left="1565"/>
        <w:spacing w:after="0"/>
        <w:rPr>
          <w:sz w:val="20"/>
          <w:szCs w:val="20"/>
          <w:color w:val="auto"/>
        </w:rPr>
      </w:pPr>
      <w:r>
        <w:rPr>
          <w:rFonts w:ascii="Arial" w:cs="Arial" w:eastAsia="Arial" w:hAnsi="Arial"/>
          <w:sz w:val="12"/>
          <w:szCs w:val="12"/>
          <w:b w:val="1"/>
          <w:bCs w:val="1"/>
          <w:color w:val="auto"/>
        </w:rPr>
        <w:t>Delaware</w:t>
      </w:r>
    </w:p>
    <w:p>
      <w:pPr>
        <w:spacing w:after="0" w:line="19" w:lineRule="exact"/>
        <w:rPr>
          <w:sz w:val="24"/>
          <w:szCs w:val="24"/>
          <w:color w:val="auto"/>
        </w:rPr>
      </w:pPr>
    </w:p>
    <w:p>
      <w:pPr>
        <w:ind w:left="1105"/>
        <w:spacing w:after="0"/>
        <w:rPr>
          <w:sz w:val="20"/>
          <w:szCs w:val="20"/>
          <w:color w:val="auto"/>
        </w:rPr>
      </w:pPr>
      <w:r>
        <w:rPr>
          <w:rFonts w:ascii="Arial" w:cs="Arial" w:eastAsia="Arial" w:hAnsi="Arial"/>
          <w:sz w:val="11"/>
          <w:szCs w:val="11"/>
          <w:color w:val="auto"/>
        </w:rPr>
        <w:t>(State or other jurisdiction of</w:t>
      </w:r>
    </w:p>
    <w:p>
      <w:pPr>
        <w:spacing w:after="0" w:line="26" w:lineRule="exact"/>
        <w:rPr>
          <w:sz w:val="24"/>
          <w:szCs w:val="24"/>
          <w:color w:val="auto"/>
        </w:rPr>
      </w:pPr>
    </w:p>
    <w:p>
      <w:pPr>
        <w:ind w:left="1085"/>
        <w:spacing w:after="0"/>
        <w:rPr>
          <w:sz w:val="20"/>
          <w:szCs w:val="20"/>
          <w:color w:val="auto"/>
        </w:rPr>
      </w:pPr>
      <w:r>
        <w:rPr>
          <w:rFonts w:ascii="Arial" w:cs="Arial" w:eastAsia="Arial" w:hAnsi="Arial"/>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2020"/>
        <w:spacing w:after="0"/>
        <w:rPr>
          <w:sz w:val="20"/>
          <w:szCs w:val="20"/>
          <w:color w:val="auto"/>
        </w:rPr>
      </w:pPr>
      <w:r>
        <w:rPr>
          <w:rFonts w:ascii="Arial" w:cs="Arial" w:eastAsia="Arial" w:hAnsi="Arial"/>
          <w:sz w:val="12"/>
          <w:szCs w:val="12"/>
          <w:b w:val="1"/>
          <w:bCs w:val="1"/>
          <w:color w:val="auto"/>
        </w:rPr>
        <w:t>001-40498</w:t>
      </w:r>
    </w:p>
    <w:p>
      <w:pPr>
        <w:spacing w:after="0" w:line="19" w:lineRule="exact"/>
        <w:rPr>
          <w:sz w:val="24"/>
          <w:szCs w:val="24"/>
          <w:color w:val="auto"/>
        </w:rPr>
      </w:pPr>
    </w:p>
    <w:p>
      <w:pPr>
        <w:jc w:val="center"/>
        <w:ind w:right="202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360"/>
        <w:spacing w:after="0"/>
        <w:rPr>
          <w:sz w:val="20"/>
          <w:szCs w:val="20"/>
          <w:color w:val="auto"/>
        </w:rPr>
      </w:pPr>
      <w:r>
        <w:rPr>
          <w:rFonts w:ascii="Arial" w:cs="Arial" w:eastAsia="Arial" w:hAnsi="Arial"/>
          <w:sz w:val="12"/>
          <w:szCs w:val="12"/>
          <w:b w:val="1"/>
          <w:bCs w:val="1"/>
          <w:color w:val="auto"/>
        </w:rPr>
        <w:t>84-2040295</w:t>
      </w:r>
    </w:p>
    <w:p>
      <w:pPr>
        <w:spacing w:after="0" w:line="19" w:lineRule="exact"/>
        <w:rPr>
          <w:sz w:val="24"/>
          <w:szCs w:val="24"/>
          <w:color w:val="auto"/>
        </w:rPr>
      </w:pPr>
    </w:p>
    <w:p>
      <w:pPr>
        <w:jc w:val="center"/>
        <w:ind w:right="1360"/>
        <w:spacing w:after="0"/>
        <w:rPr>
          <w:sz w:val="20"/>
          <w:szCs w:val="20"/>
          <w:color w:val="auto"/>
        </w:rPr>
      </w:pPr>
      <w:r>
        <w:rPr>
          <w:rFonts w:ascii="Arial" w:cs="Arial" w:eastAsia="Arial" w:hAnsi="Arial"/>
          <w:sz w:val="12"/>
          <w:szCs w:val="12"/>
          <w:color w:val="auto"/>
        </w:rPr>
        <w:t>(I.R.S. Employer</w:t>
      </w:r>
    </w:p>
    <w:p>
      <w:pPr>
        <w:spacing w:after="0" w:line="15" w:lineRule="exact"/>
        <w:rPr>
          <w:sz w:val="24"/>
          <w:szCs w:val="24"/>
          <w:color w:val="auto"/>
        </w:rPr>
      </w:pPr>
    </w:p>
    <w:p>
      <w:pPr>
        <w:jc w:val="center"/>
        <w:ind w:right="1360"/>
        <w:spacing w:after="0"/>
        <w:rPr>
          <w:sz w:val="20"/>
          <w:szCs w:val="20"/>
          <w:color w:val="auto"/>
        </w:rPr>
      </w:pPr>
      <w:r>
        <w:rPr>
          <w:rFonts w:ascii="Arial" w:cs="Arial" w:eastAsia="Arial" w:hAnsi="Arial"/>
          <w:sz w:val="11"/>
          <w:szCs w:val="11"/>
          <w:color w:val="auto"/>
        </w:rPr>
        <w:t>Identification No.)</w:t>
      </w:r>
    </w:p>
    <w:p>
      <w:pPr>
        <w:spacing w:after="0" w:line="158" w:lineRule="exact"/>
        <w:rPr>
          <w:sz w:val="24"/>
          <w:szCs w:val="24"/>
          <w:color w:val="auto"/>
        </w:rPr>
      </w:pPr>
    </w:p>
    <w:p>
      <w:pPr>
        <w:sectPr>
          <w:pgSz w:w="11900" w:h="16838" w:orient="portrait"/>
          <w:cols w:equalWidth="0" w:num="3">
            <w:col w:w="4265" w:space="720"/>
            <w:col w:w="3340" w:space="720"/>
            <w:col w:w="2260"/>
          </w:cols>
          <w:pgMar w:left="295" w:top="508" w:right="299" w:bottom="1440" w:gutter="0" w:footer="0" w:header="0"/>
          <w:type w:val="continuous"/>
        </w:sectPr>
      </w:pPr>
    </w:p>
    <w:p>
      <w:pPr>
        <w:jc w:val="center"/>
        <w:ind w:right="1995"/>
        <w:spacing w:after="0"/>
        <w:rPr>
          <w:sz w:val="20"/>
          <w:szCs w:val="20"/>
          <w:color w:val="auto"/>
        </w:rPr>
      </w:pPr>
      <w:r>
        <w:rPr>
          <w:rFonts w:ascii="Arial" w:cs="Arial" w:eastAsia="Arial" w:hAnsi="Arial"/>
          <w:sz w:val="12"/>
          <w:szCs w:val="12"/>
          <w:b w:val="1"/>
          <w:bCs w:val="1"/>
          <w:color w:val="auto"/>
        </w:rPr>
        <w:t>25 North 8th Street, 11th Floor</w:t>
      </w:r>
    </w:p>
    <w:p>
      <w:pPr>
        <w:spacing w:after="0" w:line="19" w:lineRule="exact"/>
        <w:rPr>
          <w:sz w:val="24"/>
          <w:szCs w:val="24"/>
          <w:color w:val="auto"/>
        </w:rPr>
      </w:pPr>
    </w:p>
    <w:p>
      <w:pPr>
        <w:jc w:val="center"/>
        <w:ind w:right="1995"/>
        <w:spacing w:after="0"/>
        <w:rPr>
          <w:sz w:val="20"/>
          <w:szCs w:val="20"/>
          <w:color w:val="auto"/>
        </w:rPr>
      </w:pPr>
      <w:r>
        <w:rPr>
          <w:rFonts w:ascii="Arial" w:cs="Arial" w:eastAsia="Arial" w:hAnsi="Arial"/>
          <w:sz w:val="12"/>
          <w:szCs w:val="12"/>
          <w:b w:val="1"/>
          <w:bCs w:val="1"/>
          <w:color w:val="auto"/>
        </w:rPr>
        <w:t>Philadelphia, Pennsylvania</w:t>
      </w:r>
    </w:p>
    <w:p>
      <w:pPr>
        <w:spacing w:after="0" w:line="6" w:lineRule="exact"/>
        <w:rPr>
          <w:sz w:val="24"/>
          <w:szCs w:val="24"/>
          <w:color w:val="auto"/>
        </w:rPr>
      </w:pPr>
    </w:p>
    <w:p>
      <w:pPr>
        <w:jc w:val="center"/>
        <w:ind w:right="2015"/>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Arial" w:cs="Arial" w:eastAsia="Arial" w:hAnsi="Arial"/>
          <w:sz w:val="12"/>
          <w:szCs w:val="12"/>
          <w:b w:val="1"/>
          <w:bCs w:val="1"/>
          <w:color w:val="auto"/>
        </w:rPr>
        <w:t>19104</w:t>
      </w:r>
    </w:p>
    <w:p>
      <w:pPr>
        <w:spacing w:after="0" w:line="19" w:lineRule="exact"/>
        <w:rPr>
          <w:sz w:val="24"/>
          <w:szCs w:val="24"/>
          <w:color w:val="auto"/>
        </w:rPr>
      </w:pPr>
    </w:p>
    <w:p>
      <w:pPr>
        <w:jc w:val="center"/>
        <w:ind w:right="2500"/>
        <w:spacing w:after="0"/>
        <w:rPr>
          <w:sz w:val="20"/>
          <w:szCs w:val="20"/>
          <w:color w:val="auto"/>
        </w:rPr>
      </w:pPr>
      <w:r>
        <w:rPr>
          <w:rFonts w:ascii="Arial" w:cs="Arial" w:eastAsia="Arial" w:hAnsi="Arial"/>
          <w:sz w:val="11"/>
          <w:szCs w:val="11"/>
          <w:color w:val="auto"/>
        </w:rPr>
        <w:t>(Zip Code)</w:t>
      </w:r>
    </w:p>
    <w:p>
      <w:pPr>
        <w:spacing w:after="0" w:line="158" w:lineRule="exact"/>
        <w:rPr>
          <w:sz w:val="24"/>
          <w:szCs w:val="24"/>
          <w:color w:val="auto"/>
        </w:rPr>
      </w:pPr>
    </w:p>
    <w:p>
      <w:pPr>
        <w:sectPr>
          <w:pgSz w:w="11900" w:h="16838" w:orient="portrait"/>
          <w:cols w:equalWidth="0" w:num="2">
            <w:col w:w="7545" w:space="720"/>
            <w:col w:w="3040"/>
          </w:cols>
          <w:pgMar w:left="295" w:top="508" w:right="299" w:bottom="1440" w:gutter="0" w:footer="0" w:header="0"/>
          <w:type w:val="continuous"/>
        </w:sectPr>
      </w:pPr>
    </w:p>
    <w:p>
      <w:pPr>
        <w:jc w:val="center"/>
        <w:ind w:right="15"/>
        <w:spacing w:after="0"/>
        <w:rPr>
          <w:sz w:val="20"/>
          <w:szCs w:val="20"/>
          <w:color w:val="auto"/>
        </w:rPr>
      </w:pPr>
      <w:r>
        <w:rPr>
          <w:rFonts w:ascii="Arial" w:cs="Arial" w:eastAsia="Arial" w:hAnsi="Arial"/>
          <w:sz w:val="10"/>
          <w:szCs w:val="10"/>
          <w:color w:val="auto"/>
        </w:rPr>
        <w:t xml:space="preserve">Registrant’s telephone number, including area code: </w:t>
      </w:r>
      <w:r>
        <w:rPr>
          <w:rFonts w:ascii="Arial" w:cs="Arial" w:eastAsia="Arial" w:hAnsi="Arial"/>
          <w:sz w:val="10"/>
          <w:szCs w:val="10"/>
          <w:b w:val="1"/>
          <w:bCs w:val="1"/>
          <w:color w:val="auto"/>
        </w:rPr>
        <w:t>(267) 817-5790</w:t>
      </w:r>
    </w:p>
    <w:p>
      <w:pPr>
        <w:spacing w:after="0" w:line="173"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Not Applicable</w:t>
      </w:r>
    </w:p>
    <w:p>
      <w:pPr>
        <w:spacing w:after="0" w:line="19" w:lineRule="exact"/>
        <w:rPr>
          <w:sz w:val="24"/>
          <w:szCs w:val="24"/>
          <w:color w:val="auto"/>
        </w:rPr>
      </w:pPr>
    </w:p>
    <w:p>
      <w:pPr>
        <w:jc w:val="center"/>
        <w:ind w:right="15"/>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102870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08" w:right="299" w:bottom="1440" w:gutter="0" w:footer="0" w:header="0"/>
          <w:type w:val="continuous"/>
        </w:sectPr>
      </w:pPr>
    </w:p>
    <w:p>
      <w:pPr>
        <w:spacing w:after="0" w:line="315" w:lineRule="exact"/>
        <w:rPr>
          <w:sz w:val="24"/>
          <w:szCs w:val="24"/>
          <w:color w:val="auto"/>
        </w:rPr>
      </w:pPr>
    </w:p>
    <w:p>
      <w:pPr>
        <w:ind w:left="5"/>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25"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tbl>
      <w:tblPr>
        <w:tblLayout w:type="fixed"/>
        <w:tblInd w:w="5" w:type="dxa"/>
        <w:tblCellMar>
          <w:top w:w="0" w:type="dxa"/>
          <w:left w:w="0" w:type="dxa"/>
          <w:bottom w:w="0" w:type="dxa"/>
          <w:right w:w="0" w:type="dxa"/>
        </w:tblCellMar>
      </w:tblPr>
      <w:tr>
        <w:trPr>
          <w:trHeight w:val="153"/>
        </w:trPr>
        <w:tc>
          <w:tcPr>
            <w:tcW w:w="3600" w:type="dxa"/>
            <w:vAlign w:val="bottom"/>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97"/>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Title of Each Class</w:t>
            </w:r>
          </w:p>
        </w:tc>
        <w:tc>
          <w:tcPr>
            <w:tcW w:w="240" w:type="dxa"/>
            <w:vAlign w:val="bottom"/>
          </w:tcPr>
          <w:p>
            <w:pPr>
              <w:spacing w:after="0"/>
              <w:rPr>
                <w:sz w:val="24"/>
                <w:szCs w:val="2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Name of Exchange on Which Registered</w:t>
            </w:r>
          </w:p>
        </w:tc>
      </w:tr>
      <w:tr>
        <w:trPr>
          <w:trHeight w:val="146"/>
        </w:trPr>
        <w:tc>
          <w:tcPr>
            <w:tcW w:w="3600" w:type="dxa"/>
            <w:vAlign w:val="bottom"/>
          </w:tcPr>
          <w:p>
            <w:pPr>
              <w:jc w:val="center"/>
              <w:spacing w:after="0"/>
              <w:rPr>
                <w:sz w:val="20"/>
                <w:szCs w:val="20"/>
                <w:color w:val="auto"/>
              </w:rPr>
            </w:pPr>
            <w:r>
              <w:rPr>
                <w:rFonts w:ascii="Arial" w:cs="Arial" w:eastAsia="Arial" w:hAnsi="Arial"/>
                <w:sz w:val="12"/>
                <w:szCs w:val="12"/>
                <w:b w:val="1"/>
                <w:bCs w:val="1"/>
                <w:color w:val="auto"/>
                <w:w w:val="89"/>
              </w:rPr>
              <w:t>Common Stock, par value $0.0001 per share</w:t>
            </w:r>
          </w:p>
        </w:tc>
        <w:tc>
          <w:tcPr>
            <w:tcW w:w="240" w:type="dxa"/>
            <w:vAlign w:val="bottom"/>
          </w:tcPr>
          <w:p>
            <w:pPr>
              <w:spacing w:after="0"/>
              <w:rPr>
                <w:sz w:val="12"/>
                <w:szCs w:val="12"/>
                <w:color w:val="auto"/>
              </w:rPr>
            </w:pP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9"/>
              </w:rPr>
              <w:t>IPSC</w:t>
            </w:r>
          </w:p>
        </w:tc>
        <w:tc>
          <w:tcPr>
            <w:tcW w:w="220" w:type="dxa"/>
            <w:vAlign w:val="bottom"/>
          </w:tcPr>
          <w:p>
            <w:pPr>
              <w:spacing w:after="0"/>
              <w:rPr>
                <w:sz w:val="12"/>
                <w:szCs w:val="12"/>
                <w:color w:val="auto"/>
              </w:rPr>
            </w:pP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1"/>
              </w:rPr>
              <w:t>Nasdaq Global Select Market</w:t>
            </w:r>
          </w:p>
        </w:tc>
      </w:tr>
    </w:tbl>
    <w:p>
      <w:pPr>
        <w:spacing w:after="0" w:line="131" w:lineRule="exact"/>
        <w:rPr>
          <w:sz w:val="24"/>
          <w:szCs w:val="24"/>
          <w:color w:val="auto"/>
        </w:rPr>
      </w:pPr>
    </w:p>
    <w:p>
      <w:pPr>
        <w:ind w:left="5"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9845"/>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92" w:lineRule="exact"/>
        <w:rPr>
          <w:sz w:val="24"/>
          <w:szCs w:val="24"/>
          <w:color w:val="auto"/>
        </w:rPr>
      </w:pPr>
    </w:p>
    <w:p>
      <w:pPr>
        <w:ind w:left="5" w:right="100"/>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92075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297815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08"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u w:val="single" w:color="auto"/>
          <w:color w:val="auto"/>
        </w:rPr>
        <w:t>Results of Operations and Financial Condition</w:t>
      </w:r>
    </w:p>
    <w:p>
      <w:pPr>
        <w:spacing w:after="0" w:line="15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On August 9, 2023, Century Therapeutics, Inc. (the “</w:t>
      </w:r>
      <w:r>
        <w:rPr>
          <w:rFonts w:ascii="Arial" w:cs="Arial" w:eastAsia="Arial" w:hAnsi="Arial"/>
          <w:sz w:val="12"/>
          <w:szCs w:val="12"/>
          <w:u w:val="single" w:color="auto"/>
          <w:color w:val="auto"/>
        </w:rPr>
        <w:t>Company</w:t>
      </w:r>
      <w:r>
        <w:rPr>
          <w:rFonts w:ascii="Arial" w:cs="Arial" w:eastAsia="Arial" w:hAnsi="Arial"/>
          <w:sz w:val="12"/>
          <w:szCs w:val="12"/>
          <w:color w:val="auto"/>
        </w:rPr>
        <w:t>”) issued a press release announcing its financial results for the quarter ended June 30, 2023. A copy of the press release is furnished as Exhibit 99.1 to this Current Report on Form 8-K and is incorporated herein by reference.</w:t>
      </w:r>
    </w:p>
    <w:p>
      <w:pPr>
        <w:spacing w:after="0" w:line="115"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The information contained in this Item 2.02 (including Exhibit 99.1) is being furnished and shall not be deemed “filed” for purposes of Section 18 of the Securities Exchange Act of 1934, as amended (the “</w:t>
      </w:r>
      <w:r>
        <w:rPr>
          <w:rFonts w:ascii="Arial" w:cs="Arial" w:eastAsia="Arial" w:hAnsi="Arial"/>
          <w:sz w:val="12"/>
          <w:szCs w:val="12"/>
          <w:u w:val="single" w:color="auto"/>
          <w:color w:val="auto"/>
        </w:rPr>
        <w:t>Exchange Act</w:t>
      </w:r>
      <w:r>
        <w:rPr>
          <w:rFonts w:ascii="Arial" w:cs="Arial" w:eastAsia="Arial" w:hAnsi="Arial"/>
          <w:sz w:val="12"/>
          <w:szCs w:val="12"/>
          <w:color w:val="auto"/>
        </w:rPr>
        <w:t>”), or otherwise subject to the liabilities of that section and shall not be deemed to be incorporated by reference in any filing under the Securities Act of 1933, as amended (the “</w:t>
      </w:r>
      <w:r>
        <w:rPr>
          <w:rFonts w:ascii="Arial" w:cs="Arial" w:eastAsia="Arial" w:hAnsi="Arial"/>
          <w:sz w:val="12"/>
          <w:szCs w:val="12"/>
          <w:u w:val="single" w:color="auto"/>
          <w:color w:val="auto"/>
        </w:rPr>
        <w:t>Securities Act</w:t>
      </w:r>
      <w:r>
        <w:rPr>
          <w:rFonts w:ascii="Arial" w:cs="Arial" w:eastAsia="Arial" w:hAnsi="Arial"/>
          <w:sz w:val="12"/>
          <w:szCs w:val="12"/>
          <w:color w:val="auto"/>
        </w:rPr>
        <w:t>”), or the Exchange Act, except as shall be expressly set forth by specific reference in such filing.</w:t>
      </w:r>
    </w:p>
    <w:p>
      <w:pPr>
        <w:spacing w:after="0" w:line="118" w:lineRule="exact"/>
        <w:rPr>
          <w:sz w:val="20"/>
          <w:szCs w:val="20"/>
          <w:color w:val="auto"/>
        </w:rPr>
      </w:pPr>
    </w:p>
    <w:p>
      <w:pPr>
        <w:spacing w:after="0"/>
        <w:tabs>
          <w:tab w:leader="none" w:pos="110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u w:val="single" w:color="auto"/>
          <w:color w:val="auto"/>
        </w:rPr>
        <w:t>Regulation FD Disclosure</w:t>
      </w:r>
    </w:p>
    <w:p>
      <w:pPr>
        <w:spacing w:after="0" w:line="154" w:lineRule="exact"/>
        <w:rPr>
          <w:sz w:val="20"/>
          <w:szCs w:val="20"/>
          <w:color w:val="auto"/>
        </w:rPr>
      </w:pPr>
    </w:p>
    <w:p>
      <w:pPr>
        <w:jc w:val="both"/>
        <w:ind w:right="40"/>
        <w:spacing w:after="0" w:line="276" w:lineRule="auto"/>
        <w:rPr>
          <w:sz w:val="20"/>
          <w:szCs w:val="20"/>
          <w:color w:val="auto"/>
        </w:rPr>
      </w:pPr>
      <w:r>
        <w:rPr>
          <w:rFonts w:ascii="Arial" w:cs="Arial" w:eastAsia="Arial" w:hAnsi="Arial"/>
          <w:sz w:val="12"/>
          <w:szCs w:val="12"/>
          <w:color w:val="auto"/>
        </w:rPr>
        <w:t>On August 9, 2023, the Company updated information reflected in a slide presentation, which is attached as Exhibit 99.2 to this Current Report on Form 8-K and is incorporated herein by reference. Representatives of the Company will use the updated presentation in various meetings with investors from time to time.</w:t>
      </w:r>
    </w:p>
    <w:p>
      <w:pPr>
        <w:spacing w:after="0" w:line="115"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 information contained in this Item 7.01 (including Exhibit 99.2) is being furnished and shall not be deemed "filed" for purposes of Section 18 of the Exchange Act, or otherwise subject to the liabilities of that section and shall not be deemed to be incorporated by reference in any filing under the Securities Act or the Exchange Act, except as shall be expressly set forth by specific reference in such filing.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Item 9.01</w:t>
            </w:r>
          </w:p>
        </w:tc>
        <w:tc>
          <w:tcPr>
            <w:tcW w:w="40" w:type="dxa"/>
            <w:vAlign w:val="bottom"/>
          </w:tcPr>
          <w:p>
            <w:pPr>
              <w:spacing w:after="0"/>
              <w:rPr>
                <w:sz w:val="12"/>
                <w:szCs w:val="12"/>
                <w:color w:val="auto"/>
              </w:rPr>
            </w:pPr>
          </w:p>
        </w:tc>
        <w:tc>
          <w:tcPr>
            <w:tcW w:w="10140" w:type="dxa"/>
            <w:vAlign w:val="bottom"/>
            <w:gridSpan w:val="6"/>
          </w:tcPr>
          <w:p>
            <w:pPr>
              <w:spacing w:after="0"/>
              <w:rPr>
                <w:sz w:val="20"/>
                <w:szCs w:val="20"/>
                <w:color w:val="auto"/>
              </w:rPr>
            </w:pPr>
            <w:r>
              <w:rPr>
                <w:rFonts w:ascii="Arial" w:cs="Arial" w:eastAsia="Arial" w:hAnsi="Arial"/>
                <w:sz w:val="12"/>
                <w:szCs w:val="12"/>
                <w:b w:val="1"/>
                <w:bCs w:val="1"/>
                <w:color w:val="auto"/>
              </w:rPr>
              <w:t>Financial Statements and Exhibits</w:t>
            </w:r>
          </w:p>
        </w:tc>
      </w:tr>
      <w:tr>
        <w:trPr>
          <w:trHeight w:val="295"/>
        </w:trPr>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(d) Exhibits</w:t>
            </w: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tcPr>
          <w:p>
            <w:pPr>
              <w:spacing w:after="0"/>
              <w:rPr>
                <w:sz w:val="24"/>
                <w:szCs w:val="24"/>
                <w:color w:val="auto"/>
              </w:rPr>
            </w:pPr>
          </w:p>
        </w:tc>
      </w:tr>
      <w:tr>
        <w:trPr>
          <w:trHeight w:val="275"/>
        </w:trPr>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20" w:type="dxa"/>
            <w:vAlign w:val="bottom"/>
          </w:tcPr>
          <w:p>
            <w:pPr>
              <w:spacing w:after="0"/>
              <w:rPr>
                <w:sz w:val="23"/>
                <w:szCs w:val="23"/>
                <w:color w:val="auto"/>
              </w:rPr>
            </w:pPr>
          </w:p>
        </w:tc>
      </w:tr>
      <w:tr>
        <w:trPr>
          <w:trHeight w:val="157"/>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No.</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20" w:type="dxa"/>
            <w:vAlign w:val="bottom"/>
            <w:tcBorders>
              <w:bottom w:val="single" w:sz="8" w:color="auto"/>
            </w:tcBorders>
          </w:tcPr>
          <w:p>
            <w:pPr>
              <w:ind w:left="1180"/>
              <w:spacing w:after="0"/>
              <w:rPr>
                <w:sz w:val="20"/>
                <w:szCs w:val="20"/>
                <w:color w:val="auto"/>
              </w:rPr>
            </w:pPr>
            <w:r>
              <w:rPr>
                <w:rFonts w:ascii="Arial" w:cs="Arial" w:eastAsia="Arial" w:hAnsi="Arial"/>
                <w:sz w:val="12"/>
                <w:szCs w:val="12"/>
                <w:b w:val="1"/>
                <w:bCs w:val="1"/>
                <w:color w:val="auto"/>
              </w:rPr>
              <w:t>Document</w:t>
            </w:r>
          </w:p>
        </w:tc>
      </w:tr>
      <w:tr>
        <w:trPr>
          <w:trHeight w:val="250"/>
        </w:trPr>
        <w:tc>
          <w:tcPr>
            <w:tcW w:w="200" w:type="dxa"/>
            <w:vAlign w:val="bottom"/>
          </w:tcPr>
          <w:p>
            <w:pPr>
              <w:spacing w:after="0"/>
              <w:rPr>
                <w:sz w:val="20"/>
                <w:szCs w:val="20"/>
                <w:color w:val="auto"/>
              </w:rPr>
            </w:pPr>
            <w:r>
              <w:rPr>
                <w:rFonts w:ascii="Arial" w:cs="Arial" w:eastAsia="Arial" w:hAnsi="Arial"/>
                <w:sz w:val="12"/>
                <w:szCs w:val="12"/>
                <w:color w:val="0000EE"/>
                <w:w w:val="76"/>
              </w:rPr>
              <w:t>99.</w:t>
            </w:r>
            <w:r>
              <w:rPr>
                <w:rFonts w:ascii="Arial" w:cs="Arial" w:eastAsia="Arial" w:hAnsi="Arial"/>
                <w:sz w:val="12"/>
                <w:szCs w:val="12"/>
                <w:u w:val="single" w:color="auto"/>
                <w:color w:val="0000EE"/>
                <w:w w:val="76"/>
              </w:rPr>
              <w:t>1</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60" w:type="dxa"/>
            <w:vAlign w:val="bottom"/>
            <w:gridSpan w:val="5"/>
          </w:tcPr>
          <w:p>
            <w:pPr>
              <w:spacing w:after="0"/>
              <w:rPr>
                <w:sz w:val="20"/>
                <w:szCs w:val="20"/>
                <w:color w:val="auto"/>
              </w:rPr>
            </w:pPr>
            <w:r>
              <w:rPr>
                <w:rFonts w:ascii="Arial" w:cs="Arial" w:eastAsia="Arial" w:hAnsi="Arial"/>
                <w:sz w:val="12"/>
                <w:szCs w:val="12"/>
                <w:color w:val="0000EE"/>
              </w:rPr>
              <w:t>Press Release of Century Therapeutics, Inc., dated August 9, 2023</w:t>
            </w: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68"/>
        </w:trPr>
        <w:tc>
          <w:tcPr>
            <w:tcW w:w="200" w:type="dxa"/>
            <w:vAlign w:val="bottom"/>
          </w:tcPr>
          <w:p>
            <w:pPr>
              <w:spacing w:after="0"/>
              <w:rPr>
                <w:sz w:val="20"/>
                <w:szCs w:val="20"/>
                <w:color w:val="auto"/>
              </w:rPr>
            </w:pPr>
            <w:r>
              <w:rPr>
                <w:rFonts w:ascii="Arial" w:cs="Arial" w:eastAsia="Arial" w:hAnsi="Arial"/>
                <w:sz w:val="12"/>
                <w:szCs w:val="12"/>
                <w:color w:val="0000EE"/>
                <w:w w:val="76"/>
              </w:rPr>
              <w:t>99.</w:t>
            </w:r>
            <w:r>
              <w:rPr>
                <w:rFonts w:ascii="Arial" w:cs="Arial" w:eastAsia="Arial" w:hAnsi="Arial"/>
                <w:sz w:val="12"/>
                <w:szCs w:val="12"/>
                <w:u w:val="single" w:color="auto"/>
                <w:color w:val="0000EE"/>
                <w:w w:val="76"/>
              </w:rPr>
              <w:t>2</w:t>
            </w: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960" w:type="dxa"/>
            <w:vAlign w:val="bottom"/>
            <w:gridSpan w:val="5"/>
          </w:tcPr>
          <w:p>
            <w:pPr>
              <w:spacing w:after="0"/>
              <w:rPr>
                <w:sz w:val="20"/>
                <w:szCs w:val="20"/>
                <w:color w:val="auto"/>
              </w:rPr>
            </w:pPr>
            <w:r>
              <w:rPr>
                <w:rFonts w:ascii="Arial" w:cs="Arial" w:eastAsia="Arial" w:hAnsi="Arial"/>
                <w:sz w:val="12"/>
                <w:szCs w:val="12"/>
                <w:color w:val="0000EE"/>
              </w:rPr>
              <w:t>Investor Presentation of Century Therapeutics, Inc., dated August 9, 2023</w:t>
            </w: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gridSpan w:val="4"/>
            <w:shd w:val="clear" w:color="auto" w:fill="0000EE"/>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95"/>
        </w:trPr>
        <w:tc>
          <w:tcPr>
            <w:tcW w:w="200" w:type="dxa"/>
            <w:vAlign w:val="bottom"/>
          </w:tcPr>
          <w:p>
            <w:pPr>
              <w:spacing w:after="0"/>
              <w:rPr>
                <w:sz w:val="20"/>
                <w:szCs w:val="20"/>
                <w:color w:val="auto"/>
              </w:rPr>
            </w:pPr>
            <w:r>
              <w:rPr>
                <w:rFonts w:ascii="Arial" w:cs="Arial" w:eastAsia="Arial" w:hAnsi="Arial"/>
                <w:sz w:val="12"/>
                <w:szCs w:val="12"/>
                <w:color w:val="auto"/>
                <w:w w:val="89"/>
              </w:rPr>
              <w:t>104</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5"/>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7"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CENTURY THERAPEUTICS, INC.</w:t>
      </w:r>
    </w:p>
    <w:p>
      <w:pPr>
        <w:spacing w:after="0" w:line="172" w:lineRule="exact"/>
        <w:rPr>
          <w:sz w:val="20"/>
          <w:szCs w:val="20"/>
          <w:color w:val="auto"/>
        </w:rPr>
      </w:pPr>
    </w:p>
    <w:tbl>
      <w:tblPr>
        <w:tblLayout w:type="fixed"/>
        <w:tblInd w:w="5200" w:type="dxa"/>
        <w:tblCellMar>
          <w:top w:w="0" w:type="dxa"/>
          <w:left w:w="0" w:type="dxa"/>
          <w:bottom w:w="0" w:type="dxa"/>
          <w:right w:w="0" w:type="dxa"/>
        </w:tblCellMar>
      </w:tblPr>
      <w:tr>
        <w:trPr>
          <w:trHeight w:val="153"/>
        </w:trPr>
        <w:tc>
          <w:tcPr>
            <w:tcW w:w="780" w:type="dxa"/>
            <w:vAlign w:val="bottom"/>
          </w:tcPr>
          <w:p>
            <w:pPr>
              <w:spacing w:after="0"/>
              <w:rPr>
                <w:sz w:val="20"/>
                <w:szCs w:val="20"/>
                <w:color w:val="auto"/>
              </w:rPr>
            </w:pPr>
            <w:r>
              <w:rPr>
                <w:rFonts w:ascii="Arial" w:cs="Arial" w:eastAsia="Arial" w:hAnsi="Arial"/>
                <w:sz w:val="12"/>
                <w:szCs w:val="12"/>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Gregory Russotti, Ph.D.</w:t>
            </w:r>
          </w:p>
        </w:tc>
      </w:tr>
      <w:tr>
        <w:trPr>
          <w:trHeight w:val="133"/>
        </w:trPr>
        <w:tc>
          <w:tcPr>
            <w:tcW w:w="78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5320" w:type="dxa"/>
            <w:vAlign w:val="bottom"/>
          </w:tcPr>
          <w:p>
            <w:pPr>
              <w:spacing w:after="0" w:line="133" w:lineRule="exact"/>
              <w:rPr>
                <w:sz w:val="20"/>
                <w:szCs w:val="20"/>
                <w:color w:val="auto"/>
              </w:rPr>
            </w:pPr>
            <w:r>
              <w:rPr>
                <w:rFonts w:ascii="Arial" w:cs="Arial" w:eastAsia="Arial" w:hAnsi="Arial"/>
                <w:sz w:val="12"/>
                <w:szCs w:val="12"/>
                <w:color w:val="auto"/>
              </w:rPr>
              <w:t>Gregory Russotti, Ph.D.</w:t>
            </w:r>
          </w:p>
        </w:tc>
      </w:tr>
      <w:tr>
        <w:trPr>
          <w:trHeight w:val="153"/>
        </w:trPr>
        <w:tc>
          <w:tcPr>
            <w:tcW w:w="780" w:type="dxa"/>
            <w:vAlign w:val="bottom"/>
          </w:tcPr>
          <w:p>
            <w:pPr>
              <w:spacing w:after="0"/>
              <w:rPr>
                <w:sz w:val="20"/>
                <w:szCs w:val="20"/>
                <w:color w:val="auto"/>
              </w:rPr>
            </w:pPr>
            <w:r>
              <w:rPr>
                <w:rFonts w:ascii="Arial" w:cs="Arial" w:eastAsia="Arial" w:hAnsi="Arial"/>
                <w:sz w:val="12"/>
                <w:szCs w:val="12"/>
                <w:color w:val="auto"/>
              </w:rPr>
              <w:t>Title:</w:t>
            </w:r>
          </w:p>
        </w:tc>
        <w:tc>
          <w:tcPr>
            <w:tcW w:w="5320" w:type="dxa"/>
            <w:vAlign w:val="bottom"/>
          </w:tcPr>
          <w:p>
            <w:pPr>
              <w:spacing w:after="0"/>
              <w:rPr>
                <w:sz w:val="20"/>
                <w:szCs w:val="20"/>
                <w:color w:val="auto"/>
              </w:rPr>
            </w:pPr>
            <w:r>
              <w:rPr>
                <w:rFonts w:ascii="Arial" w:cs="Arial" w:eastAsia="Arial" w:hAnsi="Arial"/>
                <w:sz w:val="12"/>
                <w:szCs w:val="12"/>
                <w:color w:val="auto"/>
              </w:rPr>
              <w:t>Interim President and Chief Executive Officer</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Date: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1480185" cy="434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80185"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Century Therapeutics Reports Second Quarter 2023 Financial Results and Provides Business Updates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Company remains on track to report initial data from Schedule A of the ongoing Phase 1 ELiPSE-1 trial of CNTY-101 in relapsed/refractory CD19 positive B-cell lymphomas by year end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Ended second quarter 2023 with cash, cash equivalents, and investments of $301.0 million; Cash runway expected into 2026 –</w:t>
      </w:r>
    </w:p>
    <w:p>
      <w:pPr>
        <w:spacing w:after="0" w:line="150"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 xml:space="preserve">PHILADELPHIA, August 9, 2023 -- </w:t>
      </w:r>
      <w:r>
        <w:rPr>
          <w:rFonts w:ascii="Arial" w:cs="Arial" w:eastAsia="Arial" w:hAnsi="Arial"/>
          <w:sz w:val="12"/>
          <w:szCs w:val="12"/>
          <w:u w:val="single" w:color="auto"/>
          <w:color w:val="auto"/>
        </w:rPr>
        <w:t>Century Therapeutics, Inc</w:t>
      </w:r>
      <w:r>
        <w:rPr>
          <w:rFonts w:ascii="Arial" w:cs="Arial" w:eastAsia="Arial" w:hAnsi="Arial"/>
          <w:sz w:val="12"/>
          <w:szCs w:val="12"/>
          <w:color w:val="auto"/>
        </w:rPr>
        <w:t>. (NASDAQ: IPSC), an innovative clinical-stage biotechnology company developing induced pluripotent stem cell (iPSC)-derived cell therapies in immuno-oncology, today reported financial results and business highlights for the second quarter ended June 30, 2023.</w:t>
      </w:r>
    </w:p>
    <w:p>
      <w:pPr>
        <w:spacing w:after="0" w:line="115"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“Here at Century we have continued to focus on the further advancement of our pipeline, specifically our ELiPSE-1 Phase 1 trial evaluating CNTY-101 in relapsed or refractory CD19 positive B-cell lymphomas, for which we expect to report initial data from Schedule A by year end,” said Greg Russotti, Ph.D., Interim Chief Executive Officer, Century Therapeutics. “We remain confident in our differentiated scientific approach and are looking forward to spending the second half of this year working towards solidifying our position as an innovative leader in the cell therapy space.”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Highlights &amp; Upcoming Milestones</w:t>
      </w:r>
    </w:p>
    <w:p>
      <w:pPr>
        <w:spacing w:after="0" w:line="154" w:lineRule="exact"/>
        <w:rPr>
          <w:sz w:val="20"/>
          <w:szCs w:val="20"/>
          <w:color w:val="auto"/>
        </w:rPr>
      </w:pPr>
    </w:p>
    <w:p>
      <w:pPr>
        <w:ind w:left="420" w:right="160" w:hanging="212"/>
        <w:spacing w:after="0" w:line="276"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first-in-human Phase 1 ELiPSE-1 trial evaluating CNTY-101 in relapsed or refractory CD19 positive B-cell lymphomas is ongoing. The Company remains on track to report preliminary data from Schedule A of the trial, including pharmacokinetics, pharmacodynamics, and safety, by year end.</w:t>
      </w:r>
    </w:p>
    <w:p>
      <w:pPr>
        <w:spacing w:after="0" w:line="114" w:lineRule="exact"/>
        <w:rPr>
          <w:rFonts w:ascii="Arial" w:cs="Arial" w:eastAsia="Arial" w:hAnsi="Arial"/>
          <w:sz w:val="12"/>
          <w:szCs w:val="12"/>
          <w:color w:val="auto"/>
        </w:rPr>
      </w:pPr>
    </w:p>
    <w:p>
      <w:pPr>
        <w:ind w:left="420" w:right="20" w:hanging="212"/>
        <w:spacing w:after="0" w:line="263"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At the American Society for Clinical Oncology (ASCO) Annual Meeting in June 2023, the Company presented a Trials in Progress poster related to its Phase 1 ELiPSE-1 trial. A copy of the poster, titled, “The ELiPSE-1 Study: A Phase 1 Multicenter Open-Label Study of CNTY-101 in Subjects with Relapsed or Refractory CD19-Positive B Cell Malignancies”, is available on the Posters section of Century’s website at </w:t>
      </w:r>
      <w:r>
        <w:rPr>
          <w:rFonts w:ascii="Arial" w:cs="Arial" w:eastAsia="Arial" w:hAnsi="Arial"/>
          <w:sz w:val="12"/>
          <w:szCs w:val="12"/>
          <w:u w:val="single" w:color="auto"/>
          <w:color w:val="auto"/>
        </w:rPr>
        <w:t>https://www.centurytx.com/science/</w:t>
      </w:r>
      <w:r>
        <w:rPr>
          <w:rFonts w:ascii="Arial" w:cs="Arial" w:eastAsia="Arial" w:hAnsi="Arial"/>
          <w:sz w:val="12"/>
          <w:szCs w:val="12"/>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Second Quarter 2023 Financial Results</w:t>
      </w:r>
    </w:p>
    <w:p>
      <w:pPr>
        <w:spacing w:after="0" w:line="150" w:lineRule="exact"/>
        <w:rPr>
          <w:sz w:val="20"/>
          <w:szCs w:val="20"/>
          <w:color w:val="auto"/>
        </w:rPr>
      </w:pPr>
    </w:p>
    <w:p>
      <w:pPr>
        <w:ind w:left="420" w:right="240" w:hanging="212"/>
        <w:spacing w:after="0" w:line="26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Cash Position: </w:t>
      </w:r>
      <w:r>
        <w:rPr>
          <w:rFonts w:ascii="Arial" w:cs="Arial" w:eastAsia="Arial" w:hAnsi="Arial"/>
          <w:sz w:val="12"/>
          <w:szCs w:val="12"/>
          <w:color w:val="auto"/>
        </w:rPr>
        <w:t>Cash, cash equivalents, and marketable securities were $301.0 million as of June 30, 2023, as compared to $367.4 million as of December 31, 2022. Net cash used in operations was $48.5 million for the six</w:t>
      </w:r>
      <w:r>
        <w:rPr>
          <w:rFonts w:ascii="Arial" w:cs="Arial" w:eastAsia="Arial" w:hAnsi="Arial"/>
          <w:sz w:val="12"/>
          <w:szCs w:val="12"/>
          <w:b w:val="1"/>
          <w:bCs w:val="1"/>
          <w:color w:val="auto"/>
        </w:rPr>
        <w:t xml:space="preserve"> </w:t>
      </w:r>
      <w:r>
        <w:rPr>
          <w:rFonts w:ascii="Arial" w:cs="Arial" w:eastAsia="Arial" w:hAnsi="Arial"/>
          <w:sz w:val="12"/>
          <w:szCs w:val="12"/>
          <w:color w:val="auto"/>
        </w:rPr>
        <w:t>months ended June 30, 2023, compared to net cash provided by operations of $61.2 million for the six months ended June 30, 2022 (which includes deferred revenue from the Bristol Myers Squibb (BMS) collaboration of $120.7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 w:name="page5"/>
    <w:bookmarkEnd w:id="4"/>
    <w:p>
      <w:pPr>
        <w:ind w:left="420" w:right="100" w:hanging="212"/>
        <w:spacing w:after="0" w:line="283"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271780</wp:posOffset>
            </wp:positionV>
            <wp:extent cx="1480185" cy="434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80185" cy="434340"/>
                    </a:xfrm>
                    <a:prstGeom prst="rect">
                      <a:avLst/>
                    </a:prstGeom>
                    <a:noFill/>
                  </pic:spPr>
                </pic:pic>
              </a:graphicData>
            </a:graphic>
          </wp:anchor>
        </w:drawing>
        <w:t xml:space="preserve">Collaboration Revenue: </w:t>
      </w:r>
      <w:r>
        <w:rPr>
          <w:rFonts w:ascii="Arial" w:cs="Arial" w:eastAsia="Arial" w:hAnsi="Arial"/>
          <w:sz w:val="12"/>
          <w:szCs w:val="12"/>
          <w:color w:val="auto"/>
        </w:rPr>
        <w:t>Collaboration revenue generated through the Company’s collaboration, option and license agreement with BMS was $0.1 million for the three months ended June 30, 2023, compared to $1.4 million</w:t>
      </w:r>
      <w:r>
        <w:rPr>
          <w:rFonts w:ascii="Arial" w:cs="Arial" w:eastAsia="Arial" w:hAnsi="Arial"/>
          <w:sz w:val="12"/>
          <w:szCs w:val="12"/>
          <w:b w:val="1"/>
          <w:bCs w:val="1"/>
          <w:color w:val="auto"/>
        </w:rPr>
        <w:t xml:space="preserve"> </w:t>
      </w:r>
      <w:r>
        <w:rPr>
          <w:rFonts w:ascii="Arial" w:cs="Arial" w:eastAsia="Arial" w:hAnsi="Arial"/>
          <w:sz w:val="12"/>
          <w:szCs w:val="12"/>
          <w:color w:val="auto"/>
        </w:rPr>
        <w:t>for the same period in 2022.</w:t>
      </w:r>
    </w:p>
    <w:p>
      <w:pPr>
        <w:spacing w:after="0" w:line="106" w:lineRule="exact"/>
        <w:rPr>
          <w:rFonts w:ascii="Arial" w:cs="Arial" w:eastAsia="Arial" w:hAnsi="Arial"/>
          <w:sz w:val="12"/>
          <w:szCs w:val="12"/>
          <w:color w:val="auto"/>
        </w:rPr>
      </w:pPr>
    </w:p>
    <w:p>
      <w:pPr>
        <w:ind w:left="420" w:right="400" w:hanging="212"/>
        <w:spacing w:after="0" w:line="283"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Research and Development (R&amp;D) expenses</w:t>
      </w:r>
      <w:r>
        <w:rPr>
          <w:rFonts w:ascii="Arial" w:cs="Arial" w:eastAsia="Arial" w:hAnsi="Arial"/>
          <w:sz w:val="12"/>
          <w:szCs w:val="12"/>
          <w:color w:val="auto"/>
        </w:rPr>
        <w:t>: R&amp;D expenses were $22.7 million for the three months ended June 30, 2023, compared to $24.5 million for the same period in 2022. The decrease in R&amp;D expenses was</w:t>
      </w:r>
      <w:r>
        <w:rPr>
          <w:rFonts w:ascii="Arial" w:cs="Arial" w:eastAsia="Arial" w:hAnsi="Arial"/>
          <w:sz w:val="12"/>
          <w:szCs w:val="12"/>
          <w:b w:val="1"/>
          <w:bCs w:val="1"/>
          <w:color w:val="auto"/>
        </w:rPr>
        <w:t xml:space="preserve"> </w:t>
      </w:r>
      <w:r>
        <w:rPr>
          <w:rFonts w:ascii="Arial" w:cs="Arial" w:eastAsia="Arial" w:hAnsi="Arial"/>
          <w:sz w:val="12"/>
          <w:szCs w:val="12"/>
          <w:color w:val="auto"/>
        </w:rPr>
        <w:t>primarily due to the reduction in force in January of 2023.</w:t>
      </w:r>
    </w:p>
    <w:p>
      <w:pPr>
        <w:spacing w:after="0" w:line="106" w:lineRule="exact"/>
        <w:rPr>
          <w:rFonts w:ascii="Arial" w:cs="Arial" w:eastAsia="Arial" w:hAnsi="Arial"/>
          <w:sz w:val="12"/>
          <w:szCs w:val="12"/>
          <w:color w:val="auto"/>
        </w:rPr>
      </w:pPr>
    </w:p>
    <w:p>
      <w:pPr>
        <w:ind w:left="420" w:hanging="212"/>
        <w:spacing w:after="0" w:line="283"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General and Administrative (G&amp;A) expenses</w:t>
      </w:r>
      <w:r>
        <w:rPr>
          <w:rFonts w:ascii="Arial" w:cs="Arial" w:eastAsia="Arial" w:hAnsi="Arial"/>
          <w:sz w:val="12"/>
          <w:szCs w:val="12"/>
          <w:color w:val="auto"/>
        </w:rPr>
        <w:t>: G&amp;A expenses were $8.2 million for the three months ended June 30, 2023, compared to $8.3 million for the same period in 2022. The decrease in G&amp;A expenses was primarily</w:t>
      </w:r>
      <w:r>
        <w:rPr>
          <w:rFonts w:ascii="Arial" w:cs="Arial" w:eastAsia="Arial" w:hAnsi="Arial"/>
          <w:sz w:val="12"/>
          <w:szCs w:val="12"/>
          <w:b w:val="1"/>
          <w:bCs w:val="1"/>
          <w:color w:val="auto"/>
        </w:rPr>
        <w:t xml:space="preserve"> </w:t>
      </w:r>
      <w:r>
        <w:rPr>
          <w:rFonts w:ascii="Arial" w:cs="Arial" w:eastAsia="Arial" w:hAnsi="Arial"/>
          <w:sz w:val="12"/>
          <w:szCs w:val="12"/>
          <w:color w:val="auto"/>
        </w:rPr>
        <w:t>due to a reduction in headcount.</w:t>
      </w:r>
    </w:p>
    <w:p>
      <w:pPr>
        <w:spacing w:after="0" w:line="10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b w:val="1"/>
          <w:bCs w:val="1"/>
          <w:color w:val="auto"/>
        </w:rPr>
        <w:t>Impairment of long lived assets</w:t>
      </w:r>
      <w:r>
        <w:rPr>
          <w:rFonts w:ascii="Arial" w:cs="Arial" w:eastAsia="Arial" w:hAnsi="Arial"/>
          <w:sz w:val="11"/>
          <w:szCs w:val="11"/>
          <w:color w:val="auto"/>
        </w:rPr>
        <w:t>: A one-time impairment charge of $4.2 million was recorded in connection with the strategic decision to consolidate two of the Company’s existing leased facilities in Philadelphia.</w:t>
      </w:r>
    </w:p>
    <w:p>
      <w:pPr>
        <w:spacing w:after="0" w:line="161" w:lineRule="exact"/>
        <w:rPr>
          <w:rFonts w:ascii="Arial" w:cs="Arial" w:eastAsia="Arial" w:hAnsi="Arial"/>
          <w:sz w:val="11"/>
          <w:szCs w:val="11"/>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Net loss</w:t>
      </w:r>
      <w:r>
        <w:rPr>
          <w:rFonts w:ascii="Arial" w:cs="Arial" w:eastAsia="Arial" w:hAnsi="Arial"/>
          <w:sz w:val="12"/>
          <w:szCs w:val="12"/>
          <w:color w:val="auto"/>
        </w:rPr>
        <w:t>: Net loss was $33.3 million for the three months ended June 30, 2023, compared to $31.0 million for the three months ended June 30, 2022.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Guidance</w:t>
      </w:r>
    </w:p>
    <w:p>
      <w:pPr>
        <w:spacing w:after="0" w:line="154" w:lineRule="exact"/>
        <w:rPr>
          <w:sz w:val="20"/>
          <w:szCs w:val="20"/>
          <w:color w:val="auto"/>
        </w:rPr>
      </w:pPr>
    </w:p>
    <w:p>
      <w:pPr>
        <w:ind w:left="420" w:right="60" w:hanging="212"/>
        <w:spacing w:after="0" w:line="276"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 expects full year generally accepted accounting principles (GAAP) operating expenses to be between $135 million and $145 million, including non-cash stock-based compensation expense of $12 million to $17 million.</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 estimates its cash, cash equivalents, and investments will support operations into 2026.</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Century Therapeutics</w:t>
      </w:r>
    </w:p>
    <w:p>
      <w:pPr>
        <w:spacing w:after="0" w:line="154" w:lineRule="exact"/>
        <w:rPr>
          <w:sz w:val="20"/>
          <w:szCs w:val="20"/>
          <w:color w:val="auto"/>
        </w:rPr>
      </w:pPr>
    </w:p>
    <w:p>
      <w:pPr>
        <w:ind w:right="100"/>
        <w:spacing w:after="0" w:line="289" w:lineRule="auto"/>
        <w:rPr>
          <w:sz w:val="20"/>
          <w:szCs w:val="20"/>
          <w:color w:val="auto"/>
        </w:rPr>
      </w:pPr>
      <w:r>
        <w:rPr>
          <w:rFonts w:ascii="Arial" w:cs="Arial" w:eastAsia="Arial" w:hAnsi="Arial"/>
          <w:sz w:val="11"/>
          <w:szCs w:val="11"/>
          <w:color w:val="auto"/>
        </w:rPr>
        <w:t xml:space="preserve">Century Therapeutics (NASDAQ: IPSC) is harnessing the power of adult stem cells to develop curative cell therapy products for cancer that we believe will allow us to overcome the limitations of first-generation cell therapies. Our genetically engineered, iPSC-derived iNK and iT cell product candidates are designed to specifically target hematologic and solid tumor cancers.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care. For more information on Century Therapeutics please visit </w:t>
      </w:r>
      <w:r>
        <w:rPr>
          <w:rFonts w:ascii="Arial" w:cs="Arial" w:eastAsia="Arial" w:hAnsi="Arial"/>
          <w:sz w:val="11"/>
          <w:szCs w:val="11"/>
          <w:u w:val="single" w:color="auto"/>
          <w:color w:val="auto"/>
        </w:rPr>
        <w:t>www.centurytx.com</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167640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271780</wp:posOffset>
            </wp:positionV>
            <wp:extent cx="1480185" cy="434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80185" cy="434340"/>
                    </a:xfrm>
                    <a:prstGeom prst="rect">
                      <a:avLst/>
                    </a:prstGeom>
                    <a:noFill/>
                  </pic:spPr>
                </pic:pic>
              </a:graphicData>
            </a:graphic>
          </wp:anchor>
        </w:drawing>
        <w:t>Century Therapeutics Forward-Looking Statement</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1"/>
          <w:szCs w:val="11"/>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dependence on the success of our lead product candidate, CNTY-101,our ability to obtain FDA acceptance for our future IND submissions and commence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the COVID-19 pandemic, geopolitical issues,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Investors and Media: Melissa Forst/Maghan Meyers – 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192405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79" w:right="299" w:bottom="1440" w:gutter="0" w:footer="0" w:header="0"/>
        </w:sectPr>
      </w:pPr>
    </w:p>
    <w:bookmarkStart w:id="6" w:name="page7"/>
    <w:bookmarkEnd w:id="6"/>
    <w:p>
      <w:pPr>
        <w:ind w:left="49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271780</wp:posOffset>
            </wp:positionV>
            <wp:extent cx="1480185" cy="434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80185" cy="434340"/>
                    </a:xfrm>
                    <a:prstGeom prst="rect">
                      <a:avLst/>
                    </a:prstGeom>
                    <a:noFill/>
                  </pic:spPr>
                </pic:pic>
              </a:graphicData>
            </a:graphic>
          </wp:anchor>
        </w:drawing>
        <w:t>Century Therapeutics, Inc</w:t>
      </w:r>
    </w:p>
    <w:p>
      <w:pPr>
        <w:spacing w:after="0" w:line="19" w:lineRule="exact"/>
        <w:rPr>
          <w:sz w:val="20"/>
          <w:szCs w:val="20"/>
          <w:color w:val="auto"/>
        </w:rPr>
      </w:pPr>
    </w:p>
    <w:p>
      <w:pPr>
        <w:ind w:left="4960"/>
        <w:spacing w:after="0"/>
        <w:rPr>
          <w:sz w:val="20"/>
          <w:szCs w:val="20"/>
          <w:color w:val="auto"/>
        </w:rPr>
      </w:pPr>
      <w:r>
        <w:rPr>
          <w:rFonts w:ascii="Arial" w:cs="Arial" w:eastAsia="Arial" w:hAnsi="Arial"/>
          <w:sz w:val="12"/>
          <w:szCs w:val="12"/>
          <w:b w:val="1"/>
          <w:bCs w:val="1"/>
          <w:color w:val="auto"/>
        </w:rPr>
        <w:t>Condensed Balance Sheets</w:t>
      </w:r>
    </w:p>
    <w:p>
      <w:pPr>
        <w:spacing w:after="0" w:line="6" w:lineRule="exact"/>
        <w:rPr>
          <w:sz w:val="20"/>
          <w:szCs w:val="20"/>
          <w:color w:val="auto"/>
        </w:rPr>
      </w:pPr>
    </w:p>
    <w:p>
      <w:pPr>
        <w:ind w:left="4980"/>
        <w:spacing w:after="0"/>
        <w:rPr>
          <w:sz w:val="20"/>
          <w:szCs w:val="20"/>
          <w:color w:val="auto"/>
        </w:rPr>
      </w:pPr>
      <w:r>
        <w:rPr>
          <w:rFonts w:ascii="Arial" w:cs="Arial" w:eastAsia="Arial" w:hAnsi="Arial"/>
          <w:sz w:val="12"/>
          <w:szCs w:val="12"/>
          <w:b w:val="1"/>
          <w:bCs w:val="1"/>
          <w:color w:val="auto"/>
        </w:rPr>
        <w:t>(unaudited,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June 30,</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December 31,</w:t>
            </w:r>
          </w:p>
        </w:tc>
        <w:tc>
          <w:tcPr>
            <w:tcW w:w="0" w:type="dxa"/>
            <w:vAlign w:val="bottom"/>
          </w:tcPr>
          <w:p>
            <w:pPr>
              <w:spacing w:after="0"/>
              <w:rPr>
                <w:sz w:val="1"/>
                <w:szCs w:val="1"/>
                <w:color w:val="auto"/>
              </w:rPr>
            </w:pPr>
          </w:p>
        </w:tc>
      </w:tr>
      <w:tr>
        <w:trPr>
          <w:trHeight w:val="157"/>
        </w:trPr>
        <w:tc>
          <w:tcPr>
            <w:tcW w:w="84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2023</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60" w:type="dxa"/>
            <w:vAlign w:val="bottom"/>
          </w:tcPr>
          <w:p>
            <w:pPr>
              <w:spacing w:after="0"/>
              <w:rPr>
                <w:sz w:val="20"/>
                <w:szCs w:val="20"/>
                <w:color w:val="auto"/>
              </w:rPr>
            </w:pPr>
            <w:r>
              <w:rPr>
                <w:rFonts w:ascii="Arial" w:cs="Arial" w:eastAsia="Arial" w:hAnsi="Arial"/>
                <w:sz w:val="12"/>
                <w:szCs w:val="12"/>
                <w:color w:val="auto"/>
              </w:rPr>
              <w:t>Current Assets:</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and cash equivalents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64,439</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84,265</w:t>
            </w:r>
          </w:p>
        </w:tc>
        <w:tc>
          <w:tcPr>
            <w:tcW w:w="0" w:type="dxa"/>
            <w:vAlign w:val="bottom"/>
          </w:tcPr>
          <w:p>
            <w:pPr>
              <w:spacing w:after="0"/>
              <w:rPr>
                <w:sz w:val="1"/>
                <w:szCs w:val="1"/>
                <w:color w:val="auto"/>
              </w:rPr>
            </w:pPr>
          </w:p>
        </w:tc>
      </w:tr>
      <w:tr>
        <w:trPr>
          <w:trHeight w:val="144"/>
        </w:trPr>
        <w:tc>
          <w:tcPr>
            <w:tcW w:w="8460" w:type="dxa"/>
            <w:vAlign w:val="bottom"/>
          </w:tcPr>
          <w:p>
            <w:pPr>
              <w:ind w:left="100"/>
              <w:spacing w:after="0"/>
              <w:rPr>
                <w:sz w:val="20"/>
                <w:szCs w:val="20"/>
                <w:color w:val="auto"/>
              </w:rPr>
            </w:pPr>
            <w:r>
              <w:rPr>
                <w:rFonts w:ascii="Arial" w:cs="Arial" w:eastAsia="Arial" w:hAnsi="Arial"/>
                <w:sz w:val="12"/>
                <w:szCs w:val="12"/>
                <w:color w:val="auto"/>
              </w:rPr>
              <w:t>Short-term investments</w:t>
            </w:r>
          </w:p>
        </w:tc>
        <w:tc>
          <w:tcPr>
            <w:tcW w:w="2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91,958</w:t>
            </w:r>
          </w:p>
        </w:tc>
        <w:tc>
          <w:tcPr>
            <w:tcW w:w="16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231,233</w:t>
            </w:r>
          </w:p>
        </w:tc>
        <w:tc>
          <w:tcPr>
            <w:tcW w:w="0" w:type="dxa"/>
            <w:vAlign w:val="bottom"/>
          </w:tcPr>
          <w:p>
            <w:pPr>
              <w:spacing w:after="0"/>
              <w:rPr>
                <w:sz w:val="1"/>
                <w:szCs w:val="1"/>
                <w:color w:val="auto"/>
              </w:rPr>
            </w:pPr>
          </w:p>
        </w:tc>
      </w:tr>
      <w:tr>
        <w:trPr>
          <w:trHeight w:val="144"/>
        </w:trPr>
        <w:tc>
          <w:tcPr>
            <w:tcW w:w="84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Prepaid expenses and other current assets</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4,883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4,223</w:t>
            </w:r>
          </w:p>
        </w:tc>
        <w:tc>
          <w:tcPr>
            <w:tcW w:w="0" w:type="dxa"/>
            <w:vAlign w:val="bottom"/>
          </w:tcPr>
          <w:p>
            <w:pPr>
              <w:spacing w:after="0"/>
              <w:rPr>
                <w:sz w:val="1"/>
                <w:szCs w:val="1"/>
                <w:color w:val="auto"/>
              </w:rPr>
            </w:pPr>
          </w:p>
        </w:tc>
      </w:tr>
      <w:tr>
        <w:trPr>
          <w:trHeight w:val="20"/>
        </w:trPr>
        <w:tc>
          <w:tcPr>
            <w:tcW w:w="8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60" w:type="dxa"/>
            <w:vAlign w:val="bottom"/>
          </w:tcPr>
          <w:p>
            <w:pPr>
              <w:spacing w:after="0" w:line="133" w:lineRule="exact"/>
              <w:rPr>
                <w:sz w:val="20"/>
                <w:szCs w:val="20"/>
                <w:color w:val="auto"/>
              </w:rPr>
            </w:pPr>
            <w:r>
              <w:rPr>
                <w:rFonts w:ascii="Arial" w:cs="Arial" w:eastAsia="Arial" w:hAnsi="Arial"/>
                <w:sz w:val="12"/>
                <w:szCs w:val="12"/>
                <w:color w:val="auto"/>
              </w:rPr>
              <w:t>Total current assets</w:t>
            </w:r>
          </w:p>
        </w:tc>
        <w:tc>
          <w:tcPr>
            <w:tcW w:w="240" w:type="dxa"/>
            <w:vAlign w:val="bottom"/>
          </w:tcPr>
          <w:p>
            <w:pPr>
              <w:spacing w:after="0"/>
              <w:rPr>
                <w:sz w:val="11"/>
                <w:szCs w:val="11"/>
                <w:color w:val="auto"/>
              </w:rPr>
            </w:pP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161,280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319,721</w:t>
            </w:r>
          </w:p>
        </w:tc>
        <w:tc>
          <w:tcPr>
            <w:tcW w:w="0" w:type="dxa"/>
            <w:vAlign w:val="bottom"/>
          </w:tcPr>
          <w:p>
            <w:pPr>
              <w:spacing w:after="0"/>
              <w:rPr>
                <w:sz w:val="1"/>
                <w:szCs w:val="1"/>
                <w:color w:val="auto"/>
              </w:rPr>
            </w:pPr>
          </w:p>
        </w:tc>
      </w:tr>
      <w:tr>
        <w:trPr>
          <w:trHeight w:val="144"/>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83,771</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82,785</w:t>
            </w:r>
          </w:p>
        </w:tc>
        <w:tc>
          <w:tcPr>
            <w:tcW w:w="0" w:type="dxa"/>
            <w:vAlign w:val="bottom"/>
          </w:tcPr>
          <w:p>
            <w:pPr>
              <w:spacing w:after="0"/>
              <w:rPr>
                <w:sz w:val="1"/>
                <w:szCs w:val="1"/>
                <w:color w:val="auto"/>
              </w:rPr>
            </w:pPr>
          </w:p>
        </w:tc>
      </w:tr>
      <w:tr>
        <w:trPr>
          <w:trHeight w:val="144"/>
        </w:trPr>
        <w:tc>
          <w:tcPr>
            <w:tcW w:w="8460" w:type="dxa"/>
            <w:vAlign w:val="bottom"/>
          </w:tcPr>
          <w:p>
            <w:pPr>
              <w:spacing w:after="0"/>
              <w:rPr>
                <w:sz w:val="20"/>
                <w:szCs w:val="20"/>
                <w:color w:val="auto"/>
              </w:rPr>
            </w:pPr>
            <w:r>
              <w:rPr>
                <w:rFonts w:ascii="Arial" w:cs="Arial" w:eastAsia="Arial" w:hAnsi="Arial"/>
                <w:sz w:val="12"/>
                <w:szCs w:val="12"/>
                <w:color w:val="auto"/>
              </w:rPr>
              <w:t>Operating lease right-of-use assets, net</w:t>
            </w:r>
          </w:p>
        </w:tc>
        <w:tc>
          <w:tcPr>
            <w:tcW w:w="2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24,993</w:t>
            </w:r>
          </w:p>
        </w:tc>
        <w:tc>
          <w:tcPr>
            <w:tcW w:w="16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28,945</w:t>
            </w:r>
          </w:p>
        </w:tc>
        <w:tc>
          <w:tcPr>
            <w:tcW w:w="0" w:type="dxa"/>
            <w:vAlign w:val="bottom"/>
          </w:tcPr>
          <w:p>
            <w:pPr>
              <w:spacing w:after="0"/>
              <w:rPr>
                <w:sz w:val="1"/>
                <w:szCs w:val="1"/>
                <w:color w:val="auto"/>
              </w:rPr>
            </w:pPr>
          </w:p>
        </w:tc>
      </w:tr>
      <w:tr>
        <w:trPr>
          <w:trHeight w:val="144"/>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Long-term investments</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144,581</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51,854</w:t>
            </w:r>
          </w:p>
        </w:tc>
        <w:tc>
          <w:tcPr>
            <w:tcW w:w="0" w:type="dxa"/>
            <w:vAlign w:val="bottom"/>
          </w:tcPr>
          <w:p>
            <w:pPr>
              <w:spacing w:after="0"/>
              <w:rPr>
                <w:sz w:val="1"/>
                <w:szCs w:val="1"/>
                <w:color w:val="auto"/>
              </w:rPr>
            </w:pPr>
          </w:p>
        </w:tc>
      </w:tr>
      <w:tr>
        <w:trPr>
          <w:trHeight w:val="153"/>
        </w:trPr>
        <w:tc>
          <w:tcPr>
            <w:tcW w:w="8460" w:type="dxa"/>
            <w:vAlign w:val="bottom"/>
          </w:tcPr>
          <w:p>
            <w:pPr>
              <w:spacing w:after="0"/>
              <w:rPr>
                <w:sz w:val="20"/>
                <w:szCs w:val="20"/>
                <w:color w:val="auto"/>
              </w:rPr>
            </w:pPr>
            <w:r>
              <w:rPr>
                <w:rFonts w:ascii="Arial" w:cs="Arial" w:eastAsia="Arial" w:hAnsi="Arial"/>
                <w:sz w:val="12"/>
                <w:szCs w:val="12"/>
                <w:color w:val="auto"/>
              </w:rPr>
              <w:t>Other long-term assets</w:t>
            </w: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2,534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3,239</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417,159</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486,544</w:t>
            </w:r>
          </w:p>
        </w:tc>
        <w:tc>
          <w:tcPr>
            <w:tcW w:w="0" w:type="dxa"/>
            <w:vAlign w:val="bottom"/>
          </w:tcPr>
          <w:p>
            <w:pPr>
              <w:spacing w:after="0"/>
              <w:rPr>
                <w:sz w:val="1"/>
                <w:szCs w:val="1"/>
                <w:color w:val="auto"/>
              </w:rPr>
            </w:pPr>
          </w:p>
        </w:tc>
      </w:tr>
      <w:tr>
        <w:trPr>
          <w:trHeight w:val="144"/>
        </w:trPr>
        <w:tc>
          <w:tcPr>
            <w:tcW w:w="846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convertible preferred stock, and stockholders' equity</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60" w:type="dxa"/>
            <w:vAlign w:val="bottom"/>
          </w:tcPr>
          <w:p>
            <w:pPr>
              <w:spacing w:after="0"/>
              <w:rPr>
                <w:sz w:val="20"/>
                <w:szCs w:val="20"/>
                <w:color w:val="auto"/>
              </w:rPr>
            </w:pPr>
            <w:r>
              <w:rPr>
                <w:rFonts w:ascii="Arial" w:cs="Arial" w:eastAsia="Arial" w:hAnsi="Arial"/>
                <w:sz w:val="12"/>
                <w:szCs w:val="12"/>
                <w:color w:val="auto"/>
              </w:rPr>
              <w:t>Current liabilities:</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payable</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3,625</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5,454</w:t>
            </w:r>
          </w:p>
        </w:tc>
        <w:tc>
          <w:tcPr>
            <w:tcW w:w="0" w:type="dxa"/>
            <w:vAlign w:val="bottom"/>
          </w:tcPr>
          <w:p>
            <w:pPr>
              <w:spacing w:after="0"/>
              <w:rPr>
                <w:sz w:val="1"/>
                <w:szCs w:val="1"/>
                <w:color w:val="auto"/>
              </w:rPr>
            </w:pPr>
          </w:p>
        </w:tc>
      </w:tr>
      <w:tr>
        <w:trPr>
          <w:trHeight w:val="144"/>
        </w:trPr>
        <w:tc>
          <w:tcPr>
            <w:tcW w:w="8460" w:type="dxa"/>
            <w:vAlign w:val="bottom"/>
          </w:tcPr>
          <w:p>
            <w:pPr>
              <w:ind w:left="100"/>
              <w:spacing w:after="0"/>
              <w:rPr>
                <w:sz w:val="20"/>
                <w:szCs w:val="20"/>
                <w:color w:val="auto"/>
              </w:rPr>
            </w:pPr>
            <w:r>
              <w:rPr>
                <w:rFonts w:ascii="Arial" w:cs="Arial" w:eastAsia="Arial" w:hAnsi="Arial"/>
                <w:sz w:val="12"/>
                <w:szCs w:val="12"/>
                <w:color w:val="auto"/>
              </w:rPr>
              <w:t>Accrued expenses and other liabilities</w:t>
            </w:r>
          </w:p>
        </w:tc>
        <w:tc>
          <w:tcPr>
            <w:tcW w:w="2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8,600</w:t>
            </w:r>
          </w:p>
        </w:tc>
        <w:tc>
          <w:tcPr>
            <w:tcW w:w="16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10,707</w:t>
            </w:r>
          </w:p>
        </w:tc>
        <w:tc>
          <w:tcPr>
            <w:tcW w:w="0" w:type="dxa"/>
            <w:vAlign w:val="bottom"/>
          </w:tcPr>
          <w:p>
            <w:pPr>
              <w:spacing w:after="0"/>
              <w:rPr>
                <w:sz w:val="1"/>
                <w:szCs w:val="1"/>
                <w:color w:val="auto"/>
              </w:rPr>
            </w:pPr>
          </w:p>
        </w:tc>
      </w:tr>
      <w:tr>
        <w:trPr>
          <w:trHeight w:val="144"/>
        </w:trPr>
        <w:tc>
          <w:tcPr>
            <w:tcW w:w="84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Long-term debt, current</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6,502</w:t>
            </w:r>
          </w:p>
        </w:tc>
        <w:tc>
          <w:tcPr>
            <w:tcW w:w="0" w:type="dxa"/>
            <w:vAlign w:val="bottom"/>
          </w:tcPr>
          <w:p>
            <w:pPr>
              <w:spacing w:after="0"/>
              <w:rPr>
                <w:sz w:val="1"/>
                <w:szCs w:val="1"/>
                <w:color w:val="auto"/>
              </w:rPr>
            </w:pPr>
          </w:p>
        </w:tc>
      </w:tr>
      <w:tr>
        <w:trPr>
          <w:trHeight w:val="144"/>
        </w:trPr>
        <w:tc>
          <w:tcPr>
            <w:tcW w:w="8460" w:type="dxa"/>
            <w:vAlign w:val="bottom"/>
          </w:tcPr>
          <w:p>
            <w:pPr>
              <w:ind w:left="100"/>
              <w:spacing w:after="0"/>
              <w:rPr>
                <w:sz w:val="20"/>
                <w:szCs w:val="20"/>
                <w:color w:val="auto"/>
              </w:rPr>
            </w:pPr>
            <w:r>
              <w:rPr>
                <w:rFonts w:ascii="Arial" w:cs="Arial" w:eastAsia="Arial" w:hAnsi="Arial"/>
                <w:sz w:val="12"/>
                <w:szCs w:val="12"/>
                <w:color w:val="auto"/>
              </w:rPr>
              <w:t>Deferred revenue, current</w:t>
            </w: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6,936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7,154</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 current liabilities</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19,161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29,817</w:t>
            </w:r>
          </w:p>
        </w:tc>
        <w:tc>
          <w:tcPr>
            <w:tcW w:w="0" w:type="dxa"/>
            <w:vAlign w:val="bottom"/>
          </w:tcPr>
          <w:p>
            <w:pPr>
              <w:spacing w:after="0"/>
              <w:rPr>
                <w:sz w:val="1"/>
                <w:szCs w:val="1"/>
                <w:color w:val="auto"/>
              </w:rPr>
            </w:pPr>
          </w:p>
        </w:tc>
      </w:tr>
      <w:tr>
        <w:trPr>
          <w:trHeight w:val="144"/>
        </w:trPr>
        <w:tc>
          <w:tcPr>
            <w:tcW w:w="8460" w:type="dxa"/>
            <w:vAlign w:val="bottom"/>
          </w:tcPr>
          <w:p>
            <w:pPr>
              <w:spacing w:after="0"/>
              <w:rPr>
                <w:sz w:val="20"/>
                <w:szCs w:val="20"/>
                <w:color w:val="auto"/>
              </w:rPr>
            </w:pPr>
            <w:r>
              <w:rPr>
                <w:rFonts w:ascii="Arial" w:cs="Arial" w:eastAsia="Arial" w:hAnsi="Arial"/>
                <w:sz w:val="12"/>
                <w:szCs w:val="12"/>
                <w:color w:val="auto"/>
              </w:rPr>
              <w:t>Operating lease liability, noncurrent</w:t>
            </w:r>
          </w:p>
        </w:tc>
        <w:tc>
          <w:tcPr>
            <w:tcW w:w="2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40,833</w:t>
            </w:r>
          </w:p>
        </w:tc>
        <w:tc>
          <w:tcPr>
            <w:tcW w:w="16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38,698</w:t>
            </w:r>
          </w:p>
        </w:tc>
        <w:tc>
          <w:tcPr>
            <w:tcW w:w="0" w:type="dxa"/>
            <w:vAlign w:val="bottom"/>
          </w:tcPr>
          <w:p>
            <w:pPr>
              <w:spacing w:after="0"/>
              <w:rPr>
                <w:sz w:val="1"/>
                <w:szCs w:val="1"/>
                <w:color w:val="auto"/>
              </w:rPr>
            </w:pPr>
          </w:p>
        </w:tc>
      </w:tr>
      <w:tr>
        <w:trPr>
          <w:trHeight w:val="144"/>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Long-term debt, net</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3,739</w:t>
            </w:r>
          </w:p>
        </w:tc>
        <w:tc>
          <w:tcPr>
            <w:tcW w:w="0" w:type="dxa"/>
            <w:vAlign w:val="bottom"/>
          </w:tcPr>
          <w:p>
            <w:pPr>
              <w:spacing w:after="0"/>
              <w:rPr>
                <w:sz w:val="1"/>
                <w:szCs w:val="1"/>
                <w:color w:val="auto"/>
              </w:rPr>
            </w:pPr>
          </w:p>
        </w:tc>
      </w:tr>
      <w:tr>
        <w:trPr>
          <w:trHeight w:val="144"/>
        </w:trPr>
        <w:tc>
          <w:tcPr>
            <w:tcW w:w="8460" w:type="dxa"/>
            <w:vAlign w:val="bottom"/>
          </w:tcPr>
          <w:p>
            <w:pPr>
              <w:spacing w:after="0"/>
              <w:rPr>
                <w:sz w:val="20"/>
                <w:szCs w:val="20"/>
                <w:color w:val="auto"/>
              </w:rPr>
            </w:pPr>
            <w:r>
              <w:rPr>
                <w:rFonts w:ascii="Arial" w:cs="Arial" w:eastAsia="Arial" w:hAnsi="Arial"/>
                <w:sz w:val="12"/>
                <w:szCs w:val="12"/>
                <w:color w:val="auto"/>
              </w:rPr>
              <w:t>Other long-term liabilities</w:t>
            </w:r>
          </w:p>
        </w:tc>
        <w:tc>
          <w:tcPr>
            <w:tcW w:w="2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361</w:t>
            </w:r>
          </w:p>
        </w:tc>
        <w:tc>
          <w:tcPr>
            <w:tcW w:w="16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718</w:t>
            </w:r>
          </w:p>
        </w:tc>
        <w:tc>
          <w:tcPr>
            <w:tcW w:w="0" w:type="dxa"/>
            <w:vAlign w:val="bottom"/>
          </w:tcPr>
          <w:p>
            <w:pPr>
              <w:spacing w:after="0"/>
              <w:rPr>
                <w:sz w:val="1"/>
                <w:szCs w:val="1"/>
                <w:color w:val="auto"/>
              </w:rPr>
            </w:pPr>
          </w:p>
        </w:tc>
      </w:tr>
      <w:tr>
        <w:trPr>
          <w:trHeight w:val="153"/>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109,233</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110,834</w:t>
            </w:r>
          </w:p>
        </w:tc>
        <w:tc>
          <w:tcPr>
            <w:tcW w:w="0" w:type="dxa"/>
            <w:vAlign w:val="bottom"/>
          </w:tcPr>
          <w:p>
            <w:pPr>
              <w:spacing w:after="0"/>
              <w:rPr>
                <w:sz w:val="1"/>
                <w:szCs w:val="1"/>
                <w:color w:val="auto"/>
              </w:rPr>
            </w:pPr>
          </w:p>
        </w:tc>
      </w:tr>
      <w:tr>
        <w:trPr>
          <w:trHeight w:val="20"/>
        </w:trPr>
        <w:tc>
          <w:tcPr>
            <w:tcW w:w="8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60" w:type="dxa"/>
            <w:vAlign w:val="bottom"/>
          </w:tcPr>
          <w:p>
            <w:pPr>
              <w:spacing w:after="0"/>
              <w:rPr>
                <w:sz w:val="20"/>
                <w:szCs w:val="20"/>
                <w:color w:val="auto"/>
              </w:rPr>
            </w:pPr>
            <w:r>
              <w:rPr>
                <w:rFonts w:ascii="Arial" w:cs="Arial" w:eastAsia="Arial" w:hAnsi="Arial"/>
                <w:sz w:val="12"/>
                <w:szCs w:val="12"/>
                <w:color w:val="auto"/>
              </w:rPr>
              <w:t>Total liabilities</w:t>
            </w: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169,588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183,806</w:t>
            </w:r>
          </w:p>
        </w:tc>
        <w:tc>
          <w:tcPr>
            <w:tcW w:w="0" w:type="dxa"/>
            <w:vAlign w:val="bottom"/>
          </w:tcPr>
          <w:p>
            <w:pPr>
              <w:spacing w:after="0"/>
              <w:rPr>
                <w:sz w:val="1"/>
                <w:szCs w:val="1"/>
                <w:color w:val="auto"/>
              </w:rPr>
            </w:pPr>
          </w:p>
        </w:tc>
      </w:tr>
      <w:tr>
        <w:trPr>
          <w:trHeight w:val="133"/>
        </w:trPr>
        <w:tc>
          <w:tcPr>
            <w:tcW w:w="84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Stockholders' equity</w:t>
            </w:r>
          </w:p>
        </w:tc>
        <w:tc>
          <w:tcPr>
            <w:tcW w:w="2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460" w:type="dxa"/>
            <w:vAlign w:val="bottom"/>
          </w:tcPr>
          <w:p>
            <w:pPr>
              <w:spacing w:after="0"/>
              <w:rPr>
                <w:sz w:val="20"/>
                <w:szCs w:val="20"/>
                <w:color w:val="auto"/>
              </w:rPr>
            </w:pPr>
            <w:r>
              <w:rPr>
                <w:rFonts w:ascii="Arial" w:cs="Arial" w:eastAsia="Arial" w:hAnsi="Arial"/>
                <w:sz w:val="12"/>
                <w:szCs w:val="12"/>
                <w:color w:val="auto"/>
              </w:rPr>
              <w:t>Common stock</w:t>
            </w:r>
          </w:p>
        </w:tc>
        <w:tc>
          <w:tcPr>
            <w:tcW w:w="2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832,425</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824,292</w:t>
            </w:r>
          </w:p>
        </w:tc>
        <w:tc>
          <w:tcPr>
            <w:tcW w:w="0" w:type="dxa"/>
            <w:vAlign w:val="bottom"/>
          </w:tcPr>
          <w:p>
            <w:pPr>
              <w:spacing w:after="0"/>
              <w:rPr>
                <w:sz w:val="1"/>
                <w:szCs w:val="1"/>
                <w:color w:val="auto"/>
              </w:rPr>
            </w:pPr>
          </w:p>
        </w:tc>
      </w:tr>
      <w:tr>
        <w:trPr>
          <w:trHeight w:val="144"/>
        </w:trPr>
        <w:tc>
          <w:tcPr>
            <w:tcW w:w="8460" w:type="dxa"/>
            <w:vAlign w:val="bottom"/>
          </w:tcPr>
          <w:p>
            <w:pPr>
              <w:spacing w:after="0"/>
              <w:rPr>
                <w:sz w:val="20"/>
                <w:szCs w:val="20"/>
                <w:color w:val="auto"/>
              </w:rPr>
            </w:pPr>
            <w:r>
              <w:rPr>
                <w:rFonts w:ascii="Arial" w:cs="Arial" w:eastAsia="Arial" w:hAnsi="Arial"/>
                <w:sz w:val="12"/>
                <w:szCs w:val="12"/>
                <w:color w:val="auto"/>
              </w:rPr>
              <w:t>Accumulated deficit</w:t>
            </w:r>
          </w:p>
        </w:tc>
        <w:tc>
          <w:tcPr>
            <w:tcW w:w="24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(583,653)</w:t>
            </w:r>
          </w:p>
        </w:tc>
        <w:tc>
          <w:tcPr>
            <w:tcW w:w="160" w:type="dxa"/>
            <w:vAlign w:val="bottom"/>
          </w:tcPr>
          <w:p>
            <w:pPr>
              <w:spacing w:after="0"/>
              <w:rPr>
                <w:sz w:val="12"/>
                <w:szCs w:val="1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(519,098)</w:t>
            </w:r>
          </w:p>
        </w:tc>
        <w:tc>
          <w:tcPr>
            <w:tcW w:w="0" w:type="dxa"/>
            <w:vAlign w:val="bottom"/>
          </w:tcPr>
          <w:p>
            <w:pPr>
              <w:spacing w:after="0"/>
              <w:rPr>
                <w:sz w:val="1"/>
                <w:szCs w:val="1"/>
                <w:color w:val="auto"/>
              </w:rPr>
            </w:pPr>
          </w:p>
        </w:tc>
      </w:tr>
      <w:tr>
        <w:trPr>
          <w:trHeight w:val="144"/>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Accumulated other comprehensive loss</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(1,207)</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(2,462)</w:t>
            </w:r>
          </w:p>
        </w:tc>
        <w:tc>
          <w:tcPr>
            <w:tcW w:w="0" w:type="dxa"/>
            <w:vAlign w:val="bottom"/>
          </w:tcPr>
          <w:p>
            <w:pPr>
              <w:spacing w:after="0"/>
              <w:rPr>
                <w:sz w:val="1"/>
                <w:szCs w:val="1"/>
                <w:color w:val="auto"/>
              </w:rPr>
            </w:pPr>
          </w:p>
        </w:tc>
      </w:tr>
      <w:tr>
        <w:trPr>
          <w:trHeight w:val="20"/>
        </w:trPr>
        <w:tc>
          <w:tcPr>
            <w:tcW w:w="8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60" w:type="dxa"/>
            <w:vAlign w:val="bottom"/>
          </w:tcPr>
          <w:p>
            <w:pPr>
              <w:spacing w:after="0"/>
              <w:rPr>
                <w:sz w:val="20"/>
                <w:szCs w:val="20"/>
                <w:color w:val="auto"/>
              </w:rPr>
            </w:pPr>
            <w:r>
              <w:rPr>
                <w:rFonts w:ascii="Arial" w:cs="Arial" w:eastAsia="Arial" w:hAnsi="Arial"/>
                <w:sz w:val="12"/>
                <w:szCs w:val="12"/>
                <w:color w:val="auto"/>
              </w:rPr>
              <w:t>Total stockholders' equity</w:t>
            </w: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247,571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302,738</w:t>
            </w:r>
          </w:p>
        </w:tc>
        <w:tc>
          <w:tcPr>
            <w:tcW w:w="0" w:type="dxa"/>
            <w:vAlign w:val="bottom"/>
          </w:tcPr>
          <w:p>
            <w:pPr>
              <w:spacing w:after="0"/>
              <w:rPr>
                <w:sz w:val="1"/>
                <w:szCs w:val="1"/>
                <w:color w:val="auto"/>
              </w:rPr>
            </w:pPr>
          </w:p>
        </w:tc>
      </w:tr>
      <w:tr>
        <w:trPr>
          <w:trHeight w:val="20"/>
        </w:trPr>
        <w:tc>
          <w:tcPr>
            <w:tcW w:w="846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Total liabilities and stockholders' equity</w:t>
            </w: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6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417,159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486,544</w:t>
            </w:r>
          </w:p>
        </w:tc>
        <w:tc>
          <w:tcPr>
            <w:tcW w:w="0" w:type="dxa"/>
            <w:vAlign w:val="bottom"/>
          </w:tcPr>
          <w:p>
            <w:pPr>
              <w:spacing w:after="0"/>
              <w:rPr>
                <w:sz w:val="1"/>
                <w:szCs w:val="1"/>
                <w:color w:val="auto"/>
              </w:rPr>
            </w:pPr>
          </w:p>
        </w:tc>
      </w:tr>
      <w:tr>
        <w:trPr>
          <w:trHeight w:val="288"/>
        </w:trPr>
        <w:tc>
          <w:tcPr>
            <w:tcW w:w="84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9" w:right="299" w:bottom="1440" w:gutter="0" w:footer="0" w:header="0"/>
        </w:sectPr>
      </w:pPr>
    </w:p>
    <w:bookmarkStart w:id="7" w:name="page8"/>
    <w:bookmarkEnd w:id="7"/>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511810</wp:posOffset>
            </wp:positionV>
            <wp:extent cx="1480185" cy="434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80185" cy="43434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2"/>
          <w:szCs w:val="12"/>
          <w:b w:val="1"/>
          <w:bCs w:val="1"/>
          <w:color w:val="auto"/>
        </w:rPr>
        <w:t>Century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in thousands, except share and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00" w:type="dxa"/>
            <w:vAlign w:val="bottom"/>
            <w:gridSpan w:val="6"/>
          </w:tcPr>
          <w:p>
            <w:pPr>
              <w:jc w:val="right"/>
              <w:ind w:right="998"/>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29"/>
        </w:trPr>
        <w:tc>
          <w:tcPr>
            <w:tcW w:w="39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498"/>
              <w:spacing w:after="0" w:line="129" w:lineRule="exact"/>
              <w:rPr>
                <w:sz w:val="20"/>
                <w:szCs w:val="20"/>
                <w:color w:val="auto"/>
              </w:rPr>
            </w:pPr>
            <w:r>
              <w:rPr>
                <w:rFonts w:ascii="Arial" w:cs="Arial" w:eastAsia="Arial" w:hAnsi="Arial"/>
                <w:sz w:val="12"/>
                <w:szCs w:val="12"/>
                <w:b w:val="1"/>
                <w:bCs w:val="1"/>
                <w:color w:val="auto"/>
              </w:rPr>
              <w:t>June 30,</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40"/>
              <w:spacing w:after="0" w:line="129" w:lineRule="exact"/>
              <w:rPr>
                <w:sz w:val="20"/>
                <w:szCs w:val="20"/>
                <w:color w:val="auto"/>
              </w:rPr>
            </w:pPr>
            <w:r>
              <w:rPr>
                <w:rFonts w:ascii="Arial" w:cs="Arial" w:eastAsia="Arial" w:hAnsi="Arial"/>
                <w:sz w:val="12"/>
                <w:szCs w:val="12"/>
                <w:b w:val="1"/>
                <w:bCs w:val="1"/>
                <w:color w:val="auto"/>
              </w:rPr>
              <w:t>June 30,</w:t>
            </w: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598"/>
              <w:spacing w:after="0" w:line="129" w:lineRule="exact"/>
              <w:rPr>
                <w:sz w:val="20"/>
                <w:szCs w:val="20"/>
                <w:color w:val="auto"/>
              </w:rPr>
            </w:pPr>
            <w:r>
              <w:rPr>
                <w:rFonts w:ascii="Arial" w:cs="Arial" w:eastAsia="Arial" w:hAnsi="Arial"/>
                <w:sz w:val="12"/>
                <w:szCs w:val="12"/>
                <w:b w:val="1"/>
                <w:bCs w:val="1"/>
                <w:color w:val="auto"/>
              </w:rPr>
              <w:t>June 30,</w:t>
            </w:r>
          </w:p>
        </w:tc>
        <w:tc>
          <w:tcPr>
            <w:tcW w:w="3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40"/>
              <w:spacing w:after="0" w:line="129" w:lineRule="exact"/>
              <w:rPr>
                <w:sz w:val="20"/>
                <w:szCs w:val="20"/>
                <w:color w:val="auto"/>
              </w:rPr>
            </w:pPr>
            <w:r>
              <w:rPr>
                <w:rFonts w:ascii="Arial" w:cs="Arial" w:eastAsia="Arial" w:hAnsi="Arial"/>
                <w:sz w:val="12"/>
                <w:szCs w:val="12"/>
                <w:b w:val="1"/>
                <w:bCs w:val="1"/>
                <w:color w:val="auto"/>
                <w:w w:val="91"/>
              </w:rPr>
              <w:t>June 30,</w:t>
            </w:r>
          </w:p>
        </w:tc>
        <w:tc>
          <w:tcPr>
            <w:tcW w:w="120" w:type="dxa"/>
            <w:vAlign w:val="bottom"/>
          </w:tcPr>
          <w:p>
            <w:pPr>
              <w:spacing w:after="0"/>
              <w:rPr>
                <w:sz w:val="11"/>
                <w:szCs w:val="11"/>
                <w:color w:val="auto"/>
              </w:rPr>
            </w:pPr>
          </w:p>
        </w:tc>
      </w:tr>
      <w:tr>
        <w:trPr>
          <w:trHeight w:val="157"/>
        </w:trPr>
        <w:tc>
          <w:tcPr>
            <w:tcW w:w="390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2023</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2023</w:t>
            </w:r>
          </w:p>
        </w:tc>
        <w:tc>
          <w:tcPr>
            <w:tcW w:w="2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3"/>
                <w:szCs w:val="13"/>
                <w:color w:val="auto"/>
              </w:rPr>
            </w:pPr>
          </w:p>
        </w:tc>
      </w:tr>
      <w:tr>
        <w:trPr>
          <w:trHeight w:val="133"/>
        </w:trPr>
        <w:tc>
          <w:tcPr>
            <w:tcW w:w="390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Collaboration Revenue</w:t>
            </w:r>
          </w:p>
        </w:tc>
        <w:tc>
          <w:tcPr>
            <w:tcW w:w="16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1,396</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1,819</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2,454</w:t>
            </w:r>
          </w:p>
        </w:tc>
        <w:tc>
          <w:tcPr>
            <w:tcW w:w="120" w:type="dxa"/>
            <w:vAlign w:val="bottom"/>
            <w:shd w:val="clear" w:color="auto" w:fill="CCEEFF"/>
          </w:tcPr>
          <w:p>
            <w:pPr>
              <w:spacing w:after="0"/>
              <w:rPr>
                <w:sz w:val="11"/>
                <w:szCs w:val="11"/>
                <w:color w:val="auto"/>
              </w:rPr>
            </w:pPr>
          </w:p>
        </w:tc>
      </w:tr>
      <w:tr>
        <w:trPr>
          <w:trHeight w:val="144"/>
        </w:trPr>
        <w:tc>
          <w:tcPr>
            <w:tcW w:w="3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Expenses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900" w:type="dxa"/>
            <w:vAlign w:val="bottom"/>
          </w:tcPr>
          <w:p>
            <w:pPr>
              <w:ind w:left="80"/>
              <w:spacing w:after="0"/>
              <w:rPr>
                <w:sz w:val="20"/>
                <w:szCs w:val="20"/>
                <w:color w:val="auto"/>
              </w:rPr>
            </w:pPr>
            <w:r>
              <w:rPr>
                <w:rFonts w:ascii="Arial" w:cs="Arial" w:eastAsia="Arial" w:hAnsi="Arial"/>
                <w:sz w:val="12"/>
                <w:szCs w:val="12"/>
                <w:color w:val="auto"/>
              </w:rPr>
              <w:t>Research and development</w:t>
            </w:r>
          </w:p>
        </w:tc>
        <w:tc>
          <w:tcPr>
            <w:tcW w:w="186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22,727</w:t>
            </w:r>
          </w:p>
        </w:tc>
        <w:tc>
          <w:tcPr>
            <w:tcW w:w="120" w:type="dxa"/>
            <w:vAlign w:val="bottom"/>
          </w:tcPr>
          <w:p>
            <w:pPr>
              <w:spacing w:after="0"/>
              <w:rPr>
                <w:sz w:val="12"/>
                <w:szCs w:val="12"/>
                <w:color w:val="auto"/>
              </w:rPr>
            </w:pPr>
          </w:p>
        </w:tc>
        <w:tc>
          <w:tcPr>
            <w:tcW w:w="340" w:type="dxa"/>
            <w:vAlign w:val="bottom"/>
            <w:gridSpan w:val="2"/>
          </w:tcPr>
          <w:p>
            <w:pPr>
              <w:jc w:val="right"/>
              <w:ind w:right="132"/>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24,494</w:t>
            </w:r>
          </w:p>
        </w:tc>
        <w:tc>
          <w:tcPr>
            <w:tcW w:w="22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gridSpan w:val="2"/>
          </w:tcPr>
          <w:p>
            <w:pPr>
              <w:jc w:val="right"/>
              <w:ind w:right="178"/>
              <w:spacing w:after="0"/>
              <w:rPr>
                <w:sz w:val="20"/>
                <w:szCs w:val="20"/>
                <w:color w:val="auto"/>
              </w:rPr>
            </w:pPr>
            <w:r>
              <w:rPr>
                <w:rFonts w:ascii="Arial" w:cs="Arial" w:eastAsia="Arial" w:hAnsi="Arial"/>
                <w:sz w:val="12"/>
                <w:szCs w:val="12"/>
                <w:color w:val="auto"/>
              </w:rPr>
              <w:t>47,626</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78"/>
              <w:spacing w:after="0"/>
              <w:rPr>
                <w:sz w:val="20"/>
                <w:szCs w:val="20"/>
                <w:color w:val="auto"/>
              </w:rPr>
            </w:pPr>
            <w:r>
              <w:rPr>
                <w:rFonts w:ascii="Arial" w:cs="Arial" w:eastAsia="Arial" w:hAnsi="Arial"/>
                <w:sz w:val="12"/>
                <w:szCs w:val="12"/>
                <w:color w:val="auto"/>
              </w:rPr>
              <w:t>45,690</w:t>
            </w:r>
          </w:p>
        </w:tc>
      </w:tr>
      <w:tr>
        <w:trPr>
          <w:trHeight w:val="144"/>
        </w:trPr>
        <w:tc>
          <w:tcPr>
            <w:tcW w:w="3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General and administrative</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8,229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17,131</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15,551</w:t>
            </w:r>
          </w:p>
        </w:tc>
      </w:tr>
      <w:tr>
        <w:trPr>
          <w:trHeight w:val="144"/>
        </w:trPr>
        <w:tc>
          <w:tcPr>
            <w:tcW w:w="3900" w:type="dxa"/>
            <w:vAlign w:val="bottom"/>
          </w:tcPr>
          <w:p>
            <w:pPr>
              <w:ind w:left="80"/>
              <w:spacing w:after="0"/>
              <w:rPr>
                <w:sz w:val="20"/>
                <w:szCs w:val="20"/>
                <w:color w:val="auto"/>
              </w:rPr>
            </w:pPr>
            <w:r>
              <w:rPr>
                <w:rFonts w:ascii="Arial" w:cs="Arial" w:eastAsia="Arial" w:hAnsi="Arial"/>
                <w:sz w:val="12"/>
                <w:szCs w:val="12"/>
                <w:color w:val="auto"/>
              </w:rPr>
              <w:t>In-process research and development</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178"/>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980" w:type="dxa"/>
            <w:vAlign w:val="bottom"/>
            <w:gridSpan w:val="2"/>
          </w:tcPr>
          <w:p>
            <w:pPr>
              <w:jc w:val="right"/>
              <w:ind w:right="78"/>
              <w:spacing w:after="0"/>
              <w:rPr>
                <w:sz w:val="20"/>
                <w:szCs w:val="20"/>
                <w:color w:val="auto"/>
              </w:rPr>
            </w:pPr>
            <w:r>
              <w:rPr>
                <w:rFonts w:ascii="Arial" w:cs="Arial" w:eastAsia="Arial" w:hAnsi="Arial"/>
                <w:sz w:val="12"/>
                <w:szCs w:val="12"/>
                <w:color w:val="auto"/>
              </w:rPr>
              <w:t>10,000</w:t>
            </w:r>
          </w:p>
        </w:tc>
      </w:tr>
      <w:tr>
        <w:trPr>
          <w:trHeight w:val="144"/>
        </w:trPr>
        <w:tc>
          <w:tcPr>
            <w:tcW w:w="3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Impairment on long-lived assets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4,220</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900" w:type="dxa"/>
            <w:vAlign w:val="bottom"/>
          </w:tcPr>
          <w:p>
            <w:pPr>
              <w:ind w:left="240"/>
              <w:spacing w:after="0"/>
              <w:rPr>
                <w:sz w:val="20"/>
                <w:szCs w:val="20"/>
                <w:color w:val="auto"/>
              </w:rPr>
            </w:pPr>
            <w:r>
              <w:rPr>
                <w:rFonts w:ascii="Arial" w:cs="Arial" w:eastAsia="Arial" w:hAnsi="Arial"/>
                <w:sz w:val="12"/>
                <w:szCs w:val="12"/>
                <w:b w:val="1"/>
                <w:bCs w:val="1"/>
                <w:color w:val="auto"/>
              </w:rPr>
              <w:t>Total operating expenses</w:t>
            </w:r>
          </w:p>
        </w:tc>
        <w:tc>
          <w:tcPr>
            <w:tcW w:w="186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35,176</w:t>
            </w:r>
          </w:p>
        </w:tc>
        <w:tc>
          <w:tcPr>
            <w:tcW w:w="120" w:type="dxa"/>
            <w:vAlign w:val="bottom"/>
          </w:tcPr>
          <w:p>
            <w:pPr>
              <w:spacing w:after="0"/>
              <w:rPr>
                <w:sz w:val="12"/>
                <w:szCs w:val="12"/>
                <w:color w:val="auto"/>
              </w:rPr>
            </w:pPr>
          </w:p>
        </w:tc>
        <w:tc>
          <w:tcPr>
            <w:tcW w:w="340" w:type="dxa"/>
            <w:vAlign w:val="bottom"/>
            <w:gridSpan w:val="2"/>
          </w:tcPr>
          <w:p>
            <w:pPr>
              <w:jc w:val="right"/>
              <w:ind w:right="132"/>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32,747</w:t>
            </w:r>
          </w:p>
        </w:tc>
        <w:tc>
          <w:tcPr>
            <w:tcW w:w="22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gridSpan w:val="2"/>
          </w:tcPr>
          <w:p>
            <w:pPr>
              <w:jc w:val="right"/>
              <w:ind w:right="178"/>
              <w:spacing w:after="0"/>
              <w:rPr>
                <w:sz w:val="20"/>
                <w:szCs w:val="20"/>
                <w:color w:val="auto"/>
              </w:rPr>
            </w:pPr>
            <w:r>
              <w:rPr>
                <w:rFonts w:ascii="Arial" w:cs="Arial" w:eastAsia="Arial" w:hAnsi="Arial"/>
                <w:sz w:val="12"/>
                <w:szCs w:val="12"/>
                <w:color w:val="auto"/>
              </w:rPr>
              <w:t>68,977</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78"/>
              <w:spacing w:after="0"/>
              <w:rPr>
                <w:sz w:val="20"/>
                <w:szCs w:val="20"/>
                <w:color w:val="auto"/>
              </w:rPr>
            </w:pPr>
            <w:r>
              <w:rPr>
                <w:rFonts w:ascii="Arial" w:cs="Arial" w:eastAsia="Arial" w:hAnsi="Arial"/>
                <w:sz w:val="12"/>
                <w:szCs w:val="12"/>
                <w:color w:val="auto"/>
              </w:rPr>
              <w:t>71,241</w:t>
            </w:r>
          </w:p>
        </w:tc>
      </w:tr>
      <w:tr>
        <w:trPr>
          <w:trHeight w:val="133"/>
        </w:trPr>
        <w:tc>
          <w:tcPr>
            <w:tcW w:w="390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900" w:type="dxa"/>
            <w:vAlign w:val="bottom"/>
          </w:tcPr>
          <w:p>
            <w:pPr>
              <w:spacing w:after="0"/>
              <w:rPr>
                <w:sz w:val="20"/>
                <w:szCs w:val="20"/>
                <w:color w:val="auto"/>
              </w:rPr>
            </w:pPr>
            <w:r>
              <w:rPr>
                <w:rFonts w:ascii="Arial" w:cs="Arial" w:eastAsia="Arial" w:hAnsi="Arial"/>
                <w:sz w:val="12"/>
                <w:szCs w:val="12"/>
                <w:b w:val="1"/>
                <w:bCs w:val="1"/>
                <w:color w:val="auto"/>
              </w:rPr>
              <w:t>Loss from operations</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38"/>
              <w:spacing w:after="0"/>
              <w:rPr>
                <w:sz w:val="20"/>
                <w:szCs w:val="20"/>
                <w:color w:val="auto"/>
              </w:rPr>
            </w:pPr>
            <w:r>
              <w:rPr>
                <w:rFonts w:ascii="Arial" w:cs="Arial" w:eastAsia="Arial" w:hAnsi="Arial"/>
                <w:sz w:val="12"/>
                <w:szCs w:val="12"/>
                <w:color w:val="auto"/>
              </w:rPr>
              <w:t>(35,077)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2"/>
                <w:szCs w:val="12"/>
                <w:color w:val="auto"/>
              </w:rPr>
              <w:t>(31,351)</w:t>
            </w:r>
          </w:p>
        </w:tc>
        <w:tc>
          <w:tcPr>
            <w:tcW w:w="240" w:type="dxa"/>
            <w:vAlign w:val="bottom"/>
          </w:tcPr>
          <w:p>
            <w:pPr>
              <w:spacing w:after="0"/>
              <w:rPr>
                <w:sz w:val="12"/>
                <w:szCs w:val="12"/>
                <w:color w:val="auto"/>
              </w:rPr>
            </w:pPr>
          </w:p>
        </w:tc>
        <w:tc>
          <w:tcPr>
            <w:tcW w:w="1240" w:type="dxa"/>
            <w:vAlign w:val="bottom"/>
            <w:gridSpan w:val="2"/>
          </w:tcPr>
          <w:p>
            <w:pPr>
              <w:jc w:val="right"/>
              <w:ind w:right="138"/>
              <w:spacing w:after="0"/>
              <w:rPr>
                <w:sz w:val="20"/>
                <w:szCs w:val="20"/>
                <w:color w:val="auto"/>
              </w:rPr>
            </w:pPr>
            <w:r>
              <w:rPr>
                <w:rFonts w:ascii="Arial" w:cs="Arial" w:eastAsia="Arial" w:hAnsi="Arial"/>
                <w:sz w:val="12"/>
                <w:szCs w:val="12"/>
                <w:color w:val="auto"/>
              </w:rPr>
              <w:t>(67,158)</w:t>
            </w:r>
          </w:p>
        </w:tc>
        <w:tc>
          <w:tcPr>
            <w:tcW w:w="380" w:type="dxa"/>
            <w:vAlign w:val="bottom"/>
          </w:tcPr>
          <w:p>
            <w:pPr>
              <w:spacing w:after="0"/>
              <w:rPr>
                <w:sz w:val="12"/>
                <w:szCs w:val="12"/>
                <w:color w:val="auto"/>
              </w:rPr>
            </w:pPr>
          </w:p>
        </w:tc>
        <w:tc>
          <w:tcPr>
            <w:tcW w:w="980" w:type="dxa"/>
            <w:vAlign w:val="bottom"/>
            <w:gridSpan w:val="2"/>
          </w:tcPr>
          <w:p>
            <w:pPr>
              <w:jc w:val="right"/>
              <w:ind w:right="38"/>
              <w:spacing w:after="0"/>
              <w:rPr>
                <w:sz w:val="20"/>
                <w:szCs w:val="20"/>
                <w:color w:val="auto"/>
              </w:rPr>
            </w:pPr>
            <w:r>
              <w:rPr>
                <w:rFonts w:ascii="Arial" w:cs="Arial" w:eastAsia="Arial" w:hAnsi="Arial"/>
                <w:sz w:val="12"/>
                <w:szCs w:val="12"/>
                <w:color w:val="auto"/>
              </w:rPr>
              <w:t>(68,787)</w:t>
            </w:r>
          </w:p>
        </w:tc>
      </w:tr>
      <w:tr>
        <w:trPr>
          <w:trHeight w:val="144"/>
        </w:trPr>
        <w:tc>
          <w:tcPr>
            <w:tcW w:w="39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900" w:type="dxa"/>
            <w:vAlign w:val="bottom"/>
          </w:tcPr>
          <w:p>
            <w:pPr>
              <w:spacing w:after="0"/>
              <w:rPr>
                <w:sz w:val="20"/>
                <w:szCs w:val="20"/>
                <w:color w:val="auto"/>
              </w:rPr>
            </w:pPr>
            <w:r>
              <w:rPr>
                <w:rFonts w:ascii="Arial" w:cs="Arial" w:eastAsia="Arial" w:hAnsi="Arial"/>
                <w:sz w:val="12"/>
                <w:szCs w:val="12"/>
                <w:color w:val="auto"/>
              </w:rPr>
              <w:t>Interest expense</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38"/>
              <w:spacing w:after="0"/>
              <w:rPr>
                <w:sz w:val="20"/>
                <w:szCs w:val="20"/>
                <w:color w:val="auto"/>
              </w:rPr>
            </w:pPr>
            <w:r>
              <w:rPr>
                <w:rFonts w:ascii="Arial" w:cs="Arial" w:eastAsia="Arial" w:hAnsi="Arial"/>
                <w:sz w:val="12"/>
                <w:szCs w:val="12"/>
                <w:color w:val="auto"/>
              </w:rPr>
              <w:t>(136)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2"/>
                <w:szCs w:val="12"/>
                <w:color w:val="auto"/>
              </w:rPr>
              <w:t>(330)</w:t>
            </w:r>
          </w:p>
        </w:tc>
        <w:tc>
          <w:tcPr>
            <w:tcW w:w="240" w:type="dxa"/>
            <w:vAlign w:val="bottom"/>
          </w:tcPr>
          <w:p>
            <w:pPr>
              <w:spacing w:after="0"/>
              <w:rPr>
                <w:sz w:val="12"/>
                <w:szCs w:val="12"/>
                <w:color w:val="auto"/>
              </w:rPr>
            </w:pPr>
          </w:p>
        </w:tc>
        <w:tc>
          <w:tcPr>
            <w:tcW w:w="1240" w:type="dxa"/>
            <w:vAlign w:val="bottom"/>
            <w:gridSpan w:val="2"/>
          </w:tcPr>
          <w:p>
            <w:pPr>
              <w:jc w:val="right"/>
              <w:ind w:right="138"/>
              <w:spacing w:after="0"/>
              <w:rPr>
                <w:sz w:val="20"/>
                <w:szCs w:val="20"/>
                <w:color w:val="auto"/>
              </w:rPr>
            </w:pPr>
            <w:r>
              <w:rPr>
                <w:rFonts w:ascii="Arial" w:cs="Arial" w:eastAsia="Arial" w:hAnsi="Arial"/>
                <w:sz w:val="12"/>
                <w:szCs w:val="12"/>
                <w:color w:val="auto"/>
              </w:rPr>
              <w:t>(540)</w:t>
            </w:r>
          </w:p>
        </w:tc>
        <w:tc>
          <w:tcPr>
            <w:tcW w:w="380" w:type="dxa"/>
            <w:vAlign w:val="bottom"/>
          </w:tcPr>
          <w:p>
            <w:pPr>
              <w:spacing w:after="0"/>
              <w:rPr>
                <w:sz w:val="12"/>
                <w:szCs w:val="12"/>
                <w:color w:val="auto"/>
              </w:rPr>
            </w:pPr>
          </w:p>
        </w:tc>
        <w:tc>
          <w:tcPr>
            <w:tcW w:w="980" w:type="dxa"/>
            <w:vAlign w:val="bottom"/>
            <w:gridSpan w:val="2"/>
          </w:tcPr>
          <w:p>
            <w:pPr>
              <w:jc w:val="right"/>
              <w:ind w:right="38"/>
              <w:spacing w:after="0"/>
              <w:rPr>
                <w:sz w:val="20"/>
                <w:szCs w:val="20"/>
                <w:color w:val="auto"/>
              </w:rPr>
            </w:pPr>
            <w:r>
              <w:rPr>
                <w:rFonts w:ascii="Arial" w:cs="Arial" w:eastAsia="Arial" w:hAnsi="Arial"/>
                <w:sz w:val="12"/>
                <w:szCs w:val="12"/>
                <w:color w:val="auto"/>
              </w:rPr>
              <w:t>(644)</w:t>
            </w:r>
          </w:p>
        </w:tc>
      </w:tr>
      <w:tr>
        <w:trPr>
          <w:trHeight w:val="144"/>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5,681</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960</w:t>
            </w:r>
          </w:p>
        </w:tc>
      </w:tr>
      <w:tr>
        <w:trPr>
          <w:trHeight w:val="153"/>
        </w:trPr>
        <w:tc>
          <w:tcPr>
            <w:tcW w:w="3900" w:type="dxa"/>
            <w:vAlign w:val="bottom"/>
          </w:tcPr>
          <w:p>
            <w:pPr>
              <w:spacing w:after="0"/>
              <w:rPr>
                <w:sz w:val="20"/>
                <w:szCs w:val="20"/>
                <w:color w:val="auto"/>
              </w:rPr>
            </w:pPr>
            <w:r>
              <w:rPr>
                <w:rFonts w:ascii="Arial" w:cs="Arial" w:eastAsia="Arial" w:hAnsi="Arial"/>
                <w:sz w:val="12"/>
                <w:szCs w:val="12"/>
                <w:color w:val="auto"/>
              </w:rPr>
              <w:t>Other income, net</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38"/>
              <w:spacing w:after="0"/>
              <w:rPr>
                <w:sz w:val="20"/>
                <w:szCs w:val="20"/>
                <w:color w:val="auto"/>
              </w:rPr>
            </w:pPr>
            <w:r>
              <w:rPr>
                <w:rFonts w:ascii="Arial" w:cs="Arial" w:eastAsia="Arial" w:hAnsi="Arial"/>
                <w:sz w:val="12"/>
                <w:szCs w:val="12"/>
                <w:color w:val="auto"/>
              </w:rPr>
              <w:t>(186)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138"/>
              <w:spacing w:after="0"/>
              <w:rPr>
                <w:sz w:val="20"/>
                <w:szCs w:val="20"/>
                <w:color w:val="auto"/>
              </w:rPr>
            </w:pPr>
            <w:r>
              <w:rPr>
                <w:rFonts w:ascii="Arial" w:cs="Arial" w:eastAsia="Arial" w:hAnsi="Arial"/>
                <w:sz w:val="12"/>
                <w:szCs w:val="12"/>
                <w:color w:val="auto"/>
              </w:rPr>
              <w:t>(380)</w:t>
            </w:r>
          </w:p>
        </w:tc>
        <w:tc>
          <w:tcPr>
            <w:tcW w:w="380" w:type="dxa"/>
            <w:vAlign w:val="bottom"/>
          </w:tcPr>
          <w:p>
            <w:pPr>
              <w:spacing w:after="0"/>
              <w:rPr>
                <w:sz w:val="13"/>
                <w:szCs w:val="13"/>
                <w:color w:val="auto"/>
              </w:rPr>
            </w:pPr>
          </w:p>
        </w:tc>
        <w:tc>
          <w:tcPr>
            <w:tcW w:w="980" w:type="dxa"/>
            <w:vAlign w:val="bottom"/>
            <w:gridSpan w:val="2"/>
          </w:tcPr>
          <w:p>
            <w:pPr>
              <w:jc w:val="right"/>
              <w:ind w:right="78"/>
              <w:spacing w:after="0"/>
              <w:rPr>
                <w:sz w:val="20"/>
                <w:szCs w:val="20"/>
                <w:color w:val="auto"/>
              </w:rPr>
            </w:pPr>
            <w:r>
              <w:rPr>
                <w:rFonts w:ascii="Arial" w:cs="Arial" w:eastAsia="Arial" w:hAnsi="Arial"/>
                <w:sz w:val="12"/>
                <w:szCs w:val="12"/>
                <w:color w:val="auto"/>
              </w:rPr>
              <w:t>4</w:t>
            </w:r>
          </w:p>
        </w:tc>
      </w:tr>
      <w:tr>
        <w:trPr>
          <w:trHeight w:val="133"/>
        </w:trPr>
        <w:tc>
          <w:tcPr>
            <w:tcW w:w="39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Loss before provision for income taxes</w:t>
            </w:r>
          </w:p>
        </w:tc>
        <w:tc>
          <w:tcPr>
            <w:tcW w:w="1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(32,341)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(30,970)</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(62,397)</w:t>
            </w:r>
          </w:p>
        </w:tc>
        <w:tc>
          <w:tcPr>
            <w:tcW w:w="2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(68,467)</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900" w:type="dxa"/>
            <w:vAlign w:val="bottom"/>
          </w:tcPr>
          <w:p>
            <w:pPr>
              <w:ind w:left="80"/>
              <w:spacing w:after="0"/>
              <w:rPr>
                <w:sz w:val="20"/>
                <w:szCs w:val="20"/>
                <w:color w:val="auto"/>
              </w:rPr>
            </w:pPr>
            <w:r>
              <w:rPr>
                <w:rFonts w:ascii="Arial" w:cs="Arial" w:eastAsia="Arial" w:hAnsi="Arial"/>
                <w:sz w:val="12"/>
                <w:szCs w:val="12"/>
                <w:color w:val="auto"/>
              </w:rPr>
              <w:t>Provision for income taxes</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38"/>
              <w:spacing w:after="0"/>
              <w:rPr>
                <w:sz w:val="20"/>
                <w:szCs w:val="20"/>
                <w:color w:val="auto"/>
              </w:rPr>
            </w:pPr>
            <w:r>
              <w:rPr>
                <w:rFonts w:ascii="Arial" w:cs="Arial" w:eastAsia="Arial" w:hAnsi="Arial"/>
                <w:sz w:val="12"/>
                <w:szCs w:val="12"/>
                <w:color w:val="auto"/>
              </w:rPr>
              <w:t>(950)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2"/>
                <w:szCs w:val="12"/>
                <w:color w:val="auto"/>
              </w:rPr>
              <w:t>(18)</w:t>
            </w:r>
          </w:p>
        </w:tc>
        <w:tc>
          <w:tcPr>
            <w:tcW w:w="240" w:type="dxa"/>
            <w:vAlign w:val="bottom"/>
          </w:tcPr>
          <w:p>
            <w:pPr>
              <w:spacing w:after="0"/>
              <w:rPr>
                <w:sz w:val="12"/>
                <w:szCs w:val="12"/>
                <w:color w:val="auto"/>
              </w:rPr>
            </w:pPr>
          </w:p>
        </w:tc>
        <w:tc>
          <w:tcPr>
            <w:tcW w:w="1240" w:type="dxa"/>
            <w:vAlign w:val="bottom"/>
            <w:gridSpan w:val="2"/>
          </w:tcPr>
          <w:p>
            <w:pPr>
              <w:jc w:val="right"/>
              <w:ind w:right="138"/>
              <w:spacing w:after="0"/>
              <w:rPr>
                <w:sz w:val="20"/>
                <w:szCs w:val="20"/>
                <w:color w:val="auto"/>
              </w:rPr>
            </w:pPr>
            <w:r>
              <w:rPr>
                <w:rFonts w:ascii="Arial" w:cs="Arial" w:eastAsia="Arial" w:hAnsi="Arial"/>
                <w:sz w:val="12"/>
                <w:szCs w:val="12"/>
                <w:color w:val="auto"/>
              </w:rPr>
              <w:t>(2,158)</w:t>
            </w:r>
          </w:p>
        </w:tc>
        <w:tc>
          <w:tcPr>
            <w:tcW w:w="380" w:type="dxa"/>
            <w:vAlign w:val="bottom"/>
          </w:tcPr>
          <w:p>
            <w:pPr>
              <w:spacing w:after="0"/>
              <w:rPr>
                <w:sz w:val="12"/>
                <w:szCs w:val="12"/>
                <w:color w:val="auto"/>
              </w:rPr>
            </w:pPr>
          </w:p>
        </w:tc>
        <w:tc>
          <w:tcPr>
            <w:tcW w:w="980" w:type="dxa"/>
            <w:vAlign w:val="bottom"/>
            <w:gridSpan w:val="2"/>
          </w:tcPr>
          <w:p>
            <w:pPr>
              <w:jc w:val="right"/>
              <w:ind w:right="38"/>
              <w:spacing w:after="0"/>
              <w:rPr>
                <w:sz w:val="20"/>
                <w:szCs w:val="20"/>
                <w:color w:val="auto"/>
              </w:rPr>
            </w:pPr>
            <w:r>
              <w:rPr>
                <w:rFonts w:ascii="Arial" w:cs="Arial" w:eastAsia="Arial" w:hAnsi="Arial"/>
                <w:sz w:val="12"/>
                <w:szCs w:val="12"/>
                <w:color w:val="auto"/>
              </w:rPr>
              <w:t>(34)</w:t>
            </w:r>
          </w:p>
        </w:tc>
      </w:tr>
      <w:tr>
        <w:trPr>
          <w:trHeight w:val="20"/>
        </w:trPr>
        <w:tc>
          <w:tcPr>
            <w:tcW w:w="3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8"/>
        </w:trPr>
        <w:tc>
          <w:tcPr>
            <w:tcW w:w="3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w:t>
            </w:r>
          </w:p>
        </w:tc>
        <w:tc>
          <w:tcPr>
            <w:tcW w:w="1860" w:type="dxa"/>
            <w:vAlign w:val="bottom"/>
            <w:gridSpan w:val="2"/>
            <w:shd w:val="clear" w:color="auto" w:fill="CCEEFF"/>
          </w:tcPr>
          <w:p>
            <w:pPr>
              <w:jc w:val="right"/>
              <w:ind w:right="112"/>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(33,291)</w:t>
            </w:r>
          </w:p>
        </w:tc>
        <w:tc>
          <w:tcPr>
            <w:tcW w:w="340" w:type="dxa"/>
            <w:vAlign w:val="bottom"/>
            <w:gridSpan w:val="2"/>
            <w:shd w:val="clear" w:color="auto" w:fill="CCEEFF"/>
          </w:tcPr>
          <w:p>
            <w:pPr>
              <w:jc w:val="right"/>
              <w:ind w:right="132"/>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(30,988)</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(64,555)</w:t>
            </w: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(68,501)</w:t>
            </w:r>
          </w:p>
        </w:tc>
      </w:tr>
      <w:tr>
        <w:trPr>
          <w:trHeight w:val="144"/>
        </w:trPr>
        <w:tc>
          <w:tcPr>
            <w:tcW w:w="3900" w:type="dxa"/>
            <w:vAlign w:val="bottom"/>
            <w:tcBorders>
              <w:top w:val="single" w:sz="8" w:color="CCEEFF"/>
            </w:tcBorders>
          </w:tcPr>
          <w:p>
            <w:pPr>
              <w:spacing w:after="0"/>
              <w:rPr>
                <w:sz w:val="12"/>
                <w:szCs w:val="12"/>
                <w:color w:val="auto"/>
              </w:rPr>
            </w:pPr>
          </w:p>
        </w:tc>
        <w:tc>
          <w:tcPr>
            <w:tcW w:w="16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3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Unrealized loss on investments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(780)</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1,255</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(2,766)</w:t>
            </w:r>
          </w:p>
        </w:tc>
      </w:tr>
      <w:tr>
        <w:trPr>
          <w:trHeight w:val="153"/>
        </w:trPr>
        <w:tc>
          <w:tcPr>
            <w:tcW w:w="3900" w:type="dxa"/>
            <w:vAlign w:val="bottom"/>
          </w:tcPr>
          <w:p>
            <w:pPr>
              <w:ind w:left="80"/>
              <w:spacing w:after="0"/>
              <w:rPr>
                <w:sz w:val="20"/>
                <w:szCs w:val="20"/>
                <w:color w:val="auto"/>
              </w:rPr>
            </w:pPr>
            <w:r>
              <w:rPr>
                <w:rFonts w:ascii="Arial" w:cs="Arial" w:eastAsia="Arial" w:hAnsi="Arial"/>
                <w:sz w:val="12"/>
                <w:szCs w:val="12"/>
                <w:color w:val="auto"/>
              </w:rPr>
              <w:t>Foreign currency translation adjustment</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2"/>
                <w:szCs w:val="12"/>
                <w:color w:val="auto"/>
              </w:rPr>
              <w:t>(12)</w:t>
            </w:r>
          </w:p>
        </w:tc>
        <w:tc>
          <w:tcPr>
            <w:tcW w:w="240" w:type="dxa"/>
            <w:vAlign w:val="bottom"/>
          </w:tcPr>
          <w:p>
            <w:pPr>
              <w:spacing w:after="0"/>
              <w:rPr>
                <w:sz w:val="13"/>
                <w:szCs w:val="13"/>
                <w:color w:val="auto"/>
              </w:rPr>
            </w:pPr>
          </w:p>
        </w:tc>
        <w:tc>
          <w:tcPr>
            <w:tcW w:w="1240" w:type="dxa"/>
            <w:vAlign w:val="bottom"/>
            <w:gridSpan w:val="2"/>
          </w:tcPr>
          <w:p>
            <w:pPr>
              <w:jc w:val="right"/>
              <w:ind w:right="178"/>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980" w:type="dxa"/>
            <w:vAlign w:val="bottom"/>
            <w:gridSpan w:val="2"/>
          </w:tcPr>
          <w:p>
            <w:pPr>
              <w:jc w:val="right"/>
              <w:ind w:right="38"/>
              <w:spacing w:after="0"/>
              <w:rPr>
                <w:sz w:val="20"/>
                <w:szCs w:val="20"/>
                <w:color w:val="auto"/>
              </w:rPr>
            </w:pPr>
            <w:r>
              <w:rPr>
                <w:rFonts w:ascii="Arial" w:cs="Arial" w:eastAsia="Arial" w:hAnsi="Arial"/>
                <w:sz w:val="12"/>
                <w:szCs w:val="12"/>
                <w:color w:val="auto"/>
              </w:rPr>
              <w:t>(18)</w:t>
            </w:r>
          </w:p>
        </w:tc>
      </w:tr>
      <w:tr>
        <w:trPr>
          <w:trHeight w:val="149"/>
        </w:trPr>
        <w:tc>
          <w:tcPr>
            <w:tcW w:w="39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Comprehensive loss</w:t>
            </w:r>
          </w:p>
        </w:tc>
        <w:tc>
          <w:tcPr>
            <w:tcW w:w="16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(33,223</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(31,780</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(63,300</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(71,285</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r>
      <w:tr>
        <w:trPr>
          <w:trHeight w:val="144"/>
        </w:trPr>
        <w:tc>
          <w:tcPr>
            <w:tcW w:w="3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9"/>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Net loss per common share - Basic and Diluted</w:t>
            </w: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(0.56)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(0.54)</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(1.10)</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(1.19)</w:t>
            </w:r>
          </w:p>
        </w:tc>
      </w:tr>
      <w:tr>
        <w:trPr>
          <w:trHeight w:val="144"/>
        </w:trPr>
        <w:tc>
          <w:tcPr>
            <w:tcW w:w="3900" w:type="dxa"/>
            <w:vAlign w:val="bottom"/>
            <w:tcBorders>
              <w:top w:val="single" w:sz="8" w:color="CCEEFF"/>
            </w:tcBorders>
          </w:tcPr>
          <w:p>
            <w:pPr>
              <w:spacing w:after="0"/>
              <w:rPr>
                <w:sz w:val="12"/>
                <w:szCs w:val="12"/>
                <w:color w:val="auto"/>
              </w:rPr>
            </w:pPr>
          </w:p>
        </w:tc>
        <w:tc>
          <w:tcPr>
            <w:tcW w:w="16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9"/>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common shares outstanding</w:t>
            </w: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59,251,363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57,685,006</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58,904,726</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57,370,022</w:t>
            </w:r>
          </w:p>
        </w:tc>
      </w:tr>
      <w:tr>
        <w:trPr>
          <w:trHeight w:val="288"/>
        </w:trPr>
        <w:tc>
          <w:tcPr>
            <w:tcW w:w="3900" w:type="dxa"/>
            <w:vAlign w:val="bottom"/>
            <w:tcBorders>
              <w:top w:val="single" w:sz="8" w:color="CCEEFF"/>
              <w:bottom w:val="single" w:sz="8" w:color="auto"/>
            </w:tcBorders>
          </w:tcPr>
          <w:p>
            <w:pPr>
              <w:spacing w:after="0"/>
              <w:rPr>
                <w:sz w:val="24"/>
                <w:szCs w:val="24"/>
                <w:color w:val="auto"/>
              </w:rPr>
            </w:pPr>
          </w:p>
        </w:tc>
        <w:tc>
          <w:tcPr>
            <w:tcW w:w="16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300"/>
          </w:cols>
          <w:pgMar w:left="300" w:top="1440" w:right="299" w:bottom="1440" w:gutter="0" w:footer="0" w:header="0"/>
        </w:sectPr>
      </w:pPr>
    </w:p>
    <w:bookmarkStart w:id="8" w:name="page9"/>
    <w:bookmarkEnd w:id="8"/>
    <w:p>
      <w:pPr>
        <w:ind w:left="9540"/>
        <w:spacing w:after="0"/>
        <w:rPr>
          <w:sz w:val="20"/>
          <w:szCs w:val="20"/>
          <w:color w:val="auto"/>
        </w:rPr>
      </w:pPr>
      <w:r>
        <w:rPr>
          <w:rFonts w:ascii="Arial" w:cs="Arial" w:eastAsia="Arial" w:hAnsi="Arial"/>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110490</wp:posOffset>
            </wp:positionV>
            <wp:extent cx="7183755" cy="5063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0" w:num="1">
            <w:col w:w="10160"/>
          </w:cols>
          <w:pgMar w:left="1440" w:top="127" w:right="29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50634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755" cy="50634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2023-08-09T06:45:45Z</dcterms:created>
  <dcterms:modified xsi:type="dcterms:W3CDTF">2023-08-09T06:45:45Z</dcterms:modified>
</cp:coreProperties>
</file>